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524E" w14:textId="65C7565C" w:rsidR="00E56C5B" w:rsidRPr="006E31F8" w:rsidRDefault="001E1299" w:rsidP="006E31F8">
      <w:pPr>
        <w:tabs>
          <w:tab w:val="left" w:pos="531"/>
        </w:tabs>
        <w:spacing w:before="28" w:line="300" w:lineRule="auto"/>
        <w:ind w:right="1794"/>
        <w:jc w:val="center"/>
        <w:rPr>
          <w:rFonts w:ascii="Aptos" w:hAnsi="Aptos"/>
          <w:b/>
          <w:bCs/>
          <w:color w:val="1F3864" w:themeColor="accent1" w:themeShade="80"/>
          <w:sz w:val="32"/>
          <w:szCs w:val="32"/>
        </w:rPr>
      </w:pPr>
      <w:r w:rsidRPr="006E31F8">
        <w:rPr>
          <w:rFonts w:ascii="Aptos" w:hAnsi="Aptos"/>
          <w:b/>
          <w:bCs/>
          <w:color w:val="1F3864" w:themeColor="accent1" w:themeShade="80"/>
          <w:sz w:val="32"/>
          <w:szCs w:val="32"/>
        </w:rPr>
        <w:t>Assessment in Religious Education</w:t>
      </w:r>
    </w:p>
    <w:p w14:paraId="72D76284" w14:textId="77777777" w:rsidR="00CB30A9" w:rsidRPr="006E31F8" w:rsidRDefault="00CB30A9" w:rsidP="00AE1A68">
      <w:pPr>
        <w:tabs>
          <w:tab w:val="left" w:pos="531"/>
        </w:tabs>
        <w:spacing w:before="28" w:line="300" w:lineRule="auto"/>
        <w:ind w:right="-46"/>
        <w:jc w:val="both"/>
        <w:rPr>
          <w:rFonts w:ascii="Aptos" w:hAnsi="Aptos"/>
          <w:b/>
          <w:bCs/>
          <w:color w:val="1F3864" w:themeColor="accent1" w:themeShade="80"/>
          <w:sz w:val="28"/>
          <w:szCs w:val="28"/>
        </w:rPr>
      </w:pPr>
      <w:r w:rsidRPr="006E31F8">
        <w:rPr>
          <w:rFonts w:ascii="Aptos" w:hAnsi="Aptos"/>
          <w:b/>
          <w:bCs/>
          <w:color w:val="1F3864" w:themeColor="accent1" w:themeShade="80"/>
          <w:sz w:val="28"/>
          <w:szCs w:val="28"/>
        </w:rPr>
        <w:t>The Big Picture</w:t>
      </w:r>
    </w:p>
    <w:p w14:paraId="76B7619F" w14:textId="0AFBEC01" w:rsidR="005F4805" w:rsidRPr="005F4805" w:rsidRDefault="001E1299" w:rsidP="00AE1A68">
      <w:pPr>
        <w:tabs>
          <w:tab w:val="left" w:pos="531"/>
        </w:tabs>
        <w:spacing w:before="28" w:line="300" w:lineRule="auto"/>
        <w:ind w:right="-46"/>
        <w:jc w:val="both"/>
        <w:rPr>
          <w:rFonts w:ascii="Aptos" w:hAnsi="Aptos"/>
        </w:rPr>
      </w:pPr>
      <w:r w:rsidRPr="005F4805">
        <w:rPr>
          <w:rFonts w:ascii="Aptos" w:hAnsi="Aptos"/>
        </w:rPr>
        <w:t xml:space="preserve">When beginning any conversation about assessment in RE, </w:t>
      </w:r>
      <w:r w:rsidR="00AE1A68" w:rsidRPr="005F4805">
        <w:rPr>
          <w:rFonts w:ascii="Aptos" w:hAnsi="Aptos"/>
        </w:rPr>
        <w:t>one must always</w:t>
      </w:r>
      <w:r w:rsidRPr="005F4805">
        <w:rPr>
          <w:rFonts w:ascii="Aptos" w:hAnsi="Aptos"/>
        </w:rPr>
        <w:t xml:space="preserve"> bear in mind the</w:t>
      </w:r>
      <w:r w:rsidR="00AE1A68" w:rsidRPr="005F4805">
        <w:rPr>
          <w:rFonts w:ascii="Aptos" w:hAnsi="Aptos"/>
        </w:rPr>
        <w:t xml:space="preserve"> purpose of RE in our Catholic schools (</w:t>
      </w:r>
      <w:r w:rsidR="00AE1A68" w:rsidRPr="00A83074">
        <w:rPr>
          <w:rFonts w:ascii="Aptos" w:hAnsi="Aptos"/>
        </w:rPr>
        <w:t>RED p</w:t>
      </w:r>
      <w:r w:rsidR="00594F8D" w:rsidRPr="00A83074">
        <w:rPr>
          <w:rFonts w:ascii="Aptos" w:hAnsi="Aptos"/>
        </w:rPr>
        <w:t>p</w:t>
      </w:r>
      <w:r w:rsidR="00AE1A68" w:rsidRPr="00A83074">
        <w:rPr>
          <w:rFonts w:ascii="Aptos" w:hAnsi="Aptos"/>
        </w:rPr>
        <w:t>13-15</w:t>
      </w:r>
      <w:r w:rsidR="00AE1A68" w:rsidRPr="005F4805">
        <w:rPr>
          <w:rFonts w:ascii="Aptos" w:hAnsi="Aptos"/>
        </w:rPr>
        <w:t>) and the outcome of RE. When our young people leave us in Y11 or Y13, what is the expectation of the</w:t>
      </w:r>
      <w:r w:rsidR="00A83074">
        <w:rPr>
          <w:rFonts w:ascii="Aptos" w:hAnsi="Aptos"/>
        </w:rPr>
        <w:t>ir</w:t>
      </w:r>
      <w:r w:rsidR="00AE1A68" w:rsidRPr="005F4805">
        <w:rPr>
          <w:rFonts w:ascii="Aptos" w:hAnsi="Aptos"/>
        </w:rPr>
        <w:t xml:space="preserve"> accumulated learning in RE?</w:t>
      </w:r>
      <w:r w:rsidR="005F4805" w:rsidRPr="005F4805">
        <w:rPr>
          <w:rFonts w:ascii="Aptos" w:hAnsi="Aptos"/>
        </w:rPr>
        <w:t xml:space="preserve"> </w:t>
      </w:r>
    </w:p>
    <w:p w14:paraId="06C80523" w14:textId="279428F6" w:rsidR="005F4805" w:rsidRPr="00DF1989" w:rsidRDefault="005F4805" w:rsidP="009B4F35">
      <w:pPr>
        <w:tabs>
          <w:tab w:val="left" w:pos="531"/>
        </w:tabs>
        <w:spacing w:before="28" w:line="300" w:lineRule="auto"/>
        <w:ind w:right="-46"/>
        <w:jc w:val="both"/>
        <w:rPr>
          <w:rFonts w:ascii="Aptos" w:hAnsi="Aptos"/>
        </w:rPr>
      </w:pPr>
      <w:r w:rsidRPr="005F4805">
        <w:rPr>
          <w:rFonts w:ascii="Aptos" w:hAnsi="Aptos"/>
        </w:rPr>
        <w:t xml:space="preserve">The RED </w:t>
      </w:r>
      <w:r w:rsidR="00D45E29">
        <w:rPr>
          <w:rFonts w:ascii="Aptos" w:hAnsi="Aptos"/>
        </w:rPr>
        <w:t>s</w:t>
      </w:r>
      <w:r w:rsidRPr="005F4805">
        <w:rPr>
          <w:rFonts w:ascii="Aptos" w:hAnsi="Aptos"/>
        </w:rPr>
        <w:t>tates the following</w:t>
      </w:r>
      <w:r w:rsidR="009B4F35">
        <w:rPr>
          <w:rFonts w:ascii="Aptos" w:hAnsi="Aptos"/>
        </w:rPr>
        <w:t xml:space="preserve"> in </w:t>
      </w:r>
      <w:r w:rsidRPr="00DF1989">
        <w:rPr>
          <w:rFonts w:ascii="Aptos" w:hAnsi="Aptos"/>
        </w:rPr>
        <w:t>Article 3 – Outcome of religious education</w:t>
      </w:r>
      <w:r w:rsidR="009B4F35">
        <w:rPr>
          <w:rFonts w:ascii="Aptos" w:hAnsi="Aptos"/>
        </w:rPr>
        <w:t>:</w:t>
      </w:r>
    </w:p>
    <w:p w14:paraId="3BAD2F9F" w14:textId="67A0AE11" w:rsidR="00143B9E" w:rsidRPr="00E07F87" w:rsidRDefault="00F955D8" w:rsidP="00E07F87">
      <w:pPr>
        <w:pStyle w:val="BodyText"/>
        <w:spacing w:before="223" w:after="240" w:line="276" w:lineRule="auto"/>
        <w:ind w:right="95"/>
        <w:jc w:val="both"/>
        <w:rPr>
          <w:rFonts w:ascii="Aptos" w:hAnsi="Aptos"/>
          <w:i/>
          <w:iCs/>
          <w:sz w:val="22"/>
          <w:szCs w:val="22"/>
        </w:rPr>
      </w:pPr>
      <w:r>
        <w:rPr>
          <w:rFonts w:ascii="Aptos" w:hAnsi="Aptos"/>
          <w:i/>
          <w:iCs/>
          <w:sz w:val="22"/>
          <w:szCs w:val="22"/>
        </w:rPr>
        <w:t>‘</w:t>
      </w:r>
      <w:r w:rsidR="005F4805" w:rsidRPr="005F4805">
        <w:rPr>
          <w:rFonts w:ascii="Aptos" w:hAnsi="Aptos"/>
          <w:i/>
          <w:iCs/>
          <w:sz w:val="22"/>
          <w:szCs w:val="22"/>
        </w:rPr>
        <w:t xml:space="preserve">The outcome of excellent religious education is religiously literate and consciously engaged young people who have the knowledge, understanding, and skills – appropriate to their age and capacity – to reflect spiritually, and think ethically and theologically, and who </w:t>
      </w:r>
      <w:proofErr w:type="spellStart"/>
      <w:r w:rsidR="005F4805" w:rsidRPr="005F4805">
        <w:rPr>
          <w:rFonts w:ascii="Aptos" w:hAnsi="Aptos"/>
          <w:i/>
          <w:iCs/>
          <w:sz w:val="22"/>
          <w:szCs w:val="22"/>
        </w:rPr>
        <w:t>recognise</w:t>
      </w:r>
      <w:proofErr w:type="spellEnd"/>
      <w:r w:rsidR="005F4805" w:rsidRPr="005F4805">
        <w:rPr>
          <w:rFonts w:ascii="Aptos" w:hAnsi="Aptos"/>
          <w:i/>
          <w:iCs/>
          <w:sz w:val="22"/>
          <w:szCs w:val="22"/>
        </w:rPr>
        <w:t xml:space="preserve"> the demands of religious commitment in everyday life.</w:t>
      </w:r>
      <w:r>
        <w:rPr>
          <w:rFonts w:ascii="Aptos" w:hAnsi="Aptos"/>
          <w:i/>
          <w:iCs/>
          <w:sz w:val="22"/>
          <w:szCs w:val="22"/>
        </w:rPr>
        <w:t>’</w:t>
      </w:r>
      <w:r w:rsidR="00E07F87">
        <w:rPr>
          <w:rFonts w:ascii="Aptos" w:hAnsi="Aptos"/>
          <w:i/>
          <w:iCs/>
          <w:sz w:val="22"/>
          <w:szCs w:val="22"/>
        </w:rPr>
        <w:tab/>
      </w:r>
      <w:r w:rsidR="00E07F87">
        <w:rPr>
          <w:rFonts w:ascii="Aptos" w:hAnsi="Aptos"/>
          <w:i/>
          <w:iCs/>
          <w:sz w:val="22"/>
          <w:szCs w:val="22"/>
        </w:rPr>
        <w:tab/>
      </w:r>
      <w:r w:rsidR="00E07F87">
        <w:rPr>
          <w:rFonts w:ascii="Aptos" w:hAnsi="Aptos"/>
          <w:i/>
          <w:iCs/>
          <w:sz w:val="22"/>
          <w:szCs w:val="22"/>
        </w:rPr>
        <w:tab/>
      </w:r>
      <w:r w:rsidR="00E07F87">
        <w:rPr>
          <w:rFonts w:ascii="Aptos" w:hAnsi="Aptos"/>
          <w:i/>
          <w:iCs/>
          <w:sz w:val="22"/>
          <w:szCs w:val="22"/>
        </w:rPr>
        <w:tab/>
      </w:r>
      <w:r w:rsidR="00E07F87">
        <w:rPr>
          <w:rFonts w:ascii="Aptos" w:hAnsi="Aptos"/>
          <w:i/>
          <w:iCs/>
          <w:sz w:val="22"/>
          <w:szCs w:val="22"/>
        </w:rPr>
        <w:tab/>
      </w:r>
      <w:r w:rsidR="00E07F87">
        <w:rPr>
          <w:rFonts w:ascii="Aptos" w:hAnsi="Aptos"/>
          <w:sz w:val="22"/>
          <w:szCs w:val="22"/>
        </w:rPr>
        <w:t>(RED p6)</w:t>
      </w:r>
    </w:p>
    <w:p w14:paraId="6951F826" w14:textId="4A2E02B5" w:rsidR="00DF75DD" w:rsidRDefault="00D45E29" w:rsidP="00DF75DD">
      <w:pPr>
        <w:spacing w:line="276" w:lineRule="auto"/>
        <w:jc w:val="both"/>
        <w:rPr>
          <w:rFonts w:ascii="Aptos" w:hAnsi="Aptos"/>
        </w:rPr>
      </w:pPr>
      <w:r>
        <w:rPr>
          <w:rFonts w:ascii="Aptos" w:hAnsi="Aptos"/>
        </w:rPr>
        <w:t>Whilst t</w:t>
      </w:r>
      <w:r w:rsidR="005F4805">
        <w:rPr>
          <w:rFonts w:ascii="Aptos" w:hAnsi="Aptos"/>
        </w:rPr>
        <w:t xml:space="preserve">he RED identifies </w:t>
      </w:r>
      <w:r w:rsidR="00DF75DD">
        <w:rPr>
          <w:rFonts w:ascii="Aptos" w:hAnsi="Aptos"/>
        </w:rPr>
        <w:t>expected outcomes for each branch content in each year group, it is important that the wider outcome of RE outlined above remains the goal for learning in RE, and how that learning speaks to the rest of the curriculum and the wider Catholic life and mission of the school. This will be possible</w:t>
      </w:r>
      <w:r w:rsidR="000D4875">
        <w:rPr>
          <w:rFonts w:ascii="Aptos" w:hAnsi="Aptos"/>
        </w:rPr>
        <w:t>,</w:t>
      </w:r>
      <w:r w:rsidR="00DF75DD">
        <w:rPr>
          <w:rFonts w:ascii="Aptos" w:hAnsi="Aptos"/>
        </w:rPr>
        <w:t xml:space="preserve"> in part</w:t>
      </w:r>
      <w:r w:rsidR="000D4875">
        <w:rPr>
          <w:rFonts w:ascii="Aptos" w:hAnsi="Aptos"/>
        </w:rPr>
        <w:t>,</w:t>
      </w:r>
      <w:r w:rsidR="00DF75DD">
        <w:rPr>
          <w:rFonts w:ascii="Aptos" w:hAnsi="Aptos"/>
        </w:rPr>
        <w:t xml:space="preserve"> by considering the aims of RE as stated in the RED (p6)</w:t>
      </w:r>
      <w:r w:rsidR="000D4875">
        <w:rPr>
          <w:rFonts w:ascii="Aptos" w:hAnsi="Aptos"/>
        </w:rPr>
        <w:t xml:space="preserve"> and referencing them </w:t>
      </w:r>
      <w:r w:rsidR="00405111">
        <w:rPr>
          <w:rFonts w:ascii="Aptos" w:hAnsi="Aptos"/>
        </w:rPr>
        <w:t>against</w:t>
      </w:r>
      <w:r w:rsidR="0065575A">
        <w:rPr>
          <w:rFonts w:ascii="Aptos" w:hAnsi="Aptos"/>
        </w:rPr>
        <w:t xml:space="preserve"> the </w:t>
      </w:r>
      <w:r w:rsidR="00E42BE0">
        <w:rPr>
          <w:rFonts w:ascii="Aptos" w:hAnsi="Aptos"/>
        </w:rPr>
        <w:t xml:space="preserve">structural elements of </w:t>
      </w:r>
      <w:r w:rsidR="00531D66">
        <w:rPr>
          <w:rFonts w:ascii="Aptos" w:hAnsi="Aptos"/>
        </w:rPr>
        <w:t>the RED</w:t>
      </w:r>
      <w:r w:rsidR="000F450B">
        <w:rPr>
          <w:rFonts w:ascii="Aptos" w:hAnsi="Aptos"/>
        </w:rPr>
        <w:t xml:space="preserve"> as in the </w:t>
      </w:r>
      <w:r w:rsidR="001B25F6">
        <w:rPr>
          <w:rFonts w:ascii="Aptos" w:hAnsi="Aptos"/>
        </w:rPr>
        <w:t>table</w:t>
      </w:r>
      <w:r w:rsidR="000F450B">
        <w:rPr>
          <w:rFonts w:ascii="Aptos" w:hAnsi="Aptos"/>
        </w:rPr>
        <w:t xml:space="preserve"> below</w:t>
      </w:r>
      <w:r w:rsidR="00DF75DD">
        <w:rPr>
          <w:rFonts w:ascii="Aptos" w:hAnsi="Aptos"/>
        </w:rPr>
        <w:t>.</w:t>
      </w:r>
    </w:p>
    <w:p w14:paraId="0A5D5ED0" w14:textId="77777777" w:rsidR="00BD316A" w:rsidRPr="005F4805" w:rsidRDefault="00BD316A" w:rsidP="00DF75DD">
      <w:pPr>
        <w:spacing w:line="276" w:lineRule="auto"/>
        <w:jc w:val="both"/>
        <w:rPr>
          <w:rFonts w:ascii="Aptos" w:hAnsi="Aptos"/>
        </w:rPr>
      </w:pPr>
    </w:p>
    <w:tbl>
      <w:tblPr>
        <w:tblStyle w:val="TableGrid"/>
        <w:tblW w:w="0" w:type="auto"/>
        <w:tblLook w:val="04A0" w:firstRow="1" w:lastRow="0" w:firstColumn="1" w:lastColumn="0" w:noHBand="0" w:noVBand="1"/>
      </w:tblPr>
      <w:tblGrid>
        <w:gridCol w:w="562"/>
        <w:gridCol w:w="4820"/>
        <w:gridCol w:w="3634"/>
      </w:tblGrid>
      <w:tr w:rsidR="00DF75DD" w:rsidRPr="005F4805" w14:paraId="38B4A78A" w14:textId="77777777" w:rsidTr="000E4EFD">
        <w:tc>
          <w:tcPr>
            <w:tcW w:w="562" w:type="dxa"/>
          </w:tcPr>
          <w:p w14:paraId="68507D67" w14:textId="77777777" w:rsidR="00DF75DD" w:rsidRPr="005F4805" w:rsidRDefault="00DF75DD" w:rsidP="00DF75DD">
            <w:pPr>
              <w:spacing w:line="276" w:lineRule="auto"/>
              <w:jc w:val="both"/>
              <w:rPr>
                <w:rFonts w:ascii="Aptos" w:hAnsi="Aptos"/>
              </w:rPr>
            </w:pPr>
          </w:p>
        </w:tc>
        <w:tc>
          <w:tcPr>
            <w:tcW w:w="4820" w:type="dxa"/>
          </w:tcPr>
          <w:p w14:paraId="49D2EACE" w14:textId="42ACCC11" w:rsidR="00DF75DD" w:rsidRPr="005F4805" w:rsidRDefault="00DF75DD" w:rsidP="000F450B">
            <w:pPr>
              <w:pStyle w:val="Heading3"/>
              <w:spacing w:before="150" w:line="276" w:lineRule="auto"/>
              <w:ind w:left="0"/>
              <w:jc w:val="center"/>
              <w:rPr>
                <w:rFonts w:ascii="Aptos" w:hAnsi="Aptos"/>
              </w:rPr>
            </w:pPr>
            <w:r w:rsidRPr="005F4805">
              <w:rPr>
                <w:rFonts w:ascii="Aptos" w:hAnsi="Aptos"/>
                <w:color w:val="142F54"/>
                <w:spacing w:val="-2"/>
                <w:w w:val="110"/>
              </w:rPr>
              <w:t>Article</w:t>
            </w:r>
            <w:r w:rsidRPr="005F4805">
              <w:rPr>
                <w:rFonts w:ascii="Aptos" w:hAnsi="Aptos"/>
                <w:color w:val="142F54"/>
                <w:spacing w:val="-19"/>
                <w:w w:val="110"/>
              </w:rPr>
              <w:t xml:space="preserve"> </w:t>
            </w:r>
            <w:r w:rsidRPr="005F4805">
              <w:rPr>
                <w:rFonts w:ascii="Aptos" w:hAnsi="Aptos"/>
                <w:color w:val="142F54"/>
                <w:spacing w:val="-2"/>
                <w:w w:val="110"/>
              </w:rPr>
              <w:t>2</w:t>
            </w:r>
            <w:r w:rsidRPr="005F4805">
              <w:rPr>
                <w:rFonts w:ascii="Aptos" w:hAnsi="Aptos"/>
                <w:color w:val="142F54"/>
                <w:spacing w:val="-19"/>
                <w:w w:val="110"/>
              </w:rPr>
              <w:t xml:space="preserve"> </w:t>
            </w:r>
            <w:r w:rsidRPr="005F4805">
              <w:rPr>
                <w:rFonts w:ascii="Aptos" w:hAnsi="Aptos"/>
                <w:color w:val="142F54"/>
                <w:spacing w:val="-2"/>
                <w:w w:val="110"/>
              </w:rPr>
              <w:t>–</w:t>
            </w:r>
            <w:r w:rsidRPr="005F4805">
              <w:rPr>
                <w:rFonts w:ascii="Aptos" w:hAnsi="Aptos"/>
                <w:color w:val="142F54"/>
                <w:spacing w:val="-19"/>
                <w:w w:val="110"/>
              </w:rPr>
              <w:t xml:space="preserve"> </w:t>
            </w:r>
            <w:r w:rsidRPr="005F4805">
              <w:rPr>
                <w:rFonts w:ascii="Aptos" w:hAnsi="Aptos"/>
                <w:color w:val="142F54"/>
                <w:spacing w:val="-2"/>
                <w:w w:val="110"/>
              </w:rPr>
              <w:t>Aims</w:t>
            </w:r>
            <w:r w:rsidRPr="005F4805">
              <w:rPr>
                <w:rFonts w:ascii="Aptos" w:hAnsi="Aptos"/>
                <w:color w:val="142F54"/>
                <w:spacing w:val="-18"/>
                <w:w w:val="110"/>
              </w:rPr>
              <w:t xml:space="preserve"> </w:t>
            </w:r>
            <w:r w:rsidRPr="005F4805">
              <w:rPr>
                <w:rFonts w:ascii="Aptos" w:hAnsi="Aptos"/>
                <w:color w:val="142F54"/>
                <w:spacing w:val="-2"/>
                <w:w w:val="110"/>
              </w:rPr>
              <w:t>of</w:t>
            </w:r>
            <w:r w:rsidRPr="005F4805">
              <w:rPr>
                <w:rFonts w:ascii="Aptos" w:hAnsi="Aptos"/>
                <w:color w:val="142F54"/>
                <w:spacing w:val="-19"/>
                <w:w w:val="110"/>
              </w:rPr>
              <w:t xml:space="preserve"> </w:t>
            </w:r>
            <w:r w:rsidRPr="005F4805">
              <w:rPr>
                <w:rFonts w:ascii="Aptos" w:hAnsi="Aptos"/>
                <w:color w:val="142F54"/>
                <w:spacing w:val="-2"/>
                <w:w w:val="110"/>
              </w:rPr>
              <w:t>religious</w:t>
            </w:r>
            <w:r w:rsidRPr="005F4805">
              <w:rPr>
                <w:rFonts w:ascii="Aptos" w:hAnsi="Aptos"/>
                <w:color w:val="142F54"/>
                <w:spacing w:val="-19"/>
                <w:w w:val="110"/>
              </w:rPr>
              <w:t xml:space="preserve"> </w:t>
            </w:r>
            <w:r w:rsidRPr="005F4805">
              <w:rPr>
                <w:rFonts w:ascii="Aptos" w:hAnsi="Aptos"/>
                <w:color w:val="142F54"/>
                <w:spacing w:val="-2"/>
                <w:w w:val="110"/>
              </w:rPr>
              <w:t>education</w:t>
            </w:r>
          </w:p>
        </w:tc>
        <w:tc>
          <w:tcPr>
            <w:tcW w:w="3634" w:type="dxa"/>
          </w:tcPr>
          <w:p w14:paraId="3B86AD57" w14:textId="1CEEA051" w:rsidR="000E4EFD" w:rsidRPr="005F4805" w:rsidRDefault="0000746A" w:rsidP="000F450B">
            <w:pPr>
              <w:pStyle w:val="Heading3"/>
              <w:spacing w:before="150" w:line="276" w:lineRule="auto"/>
              <w:ind w:left="0"/>
              <w:jc w:val="center"/>
              <w:rPr>
                <w:rFonts w:ascii="Aptos" w:hAnsi="Aptos"/>
              </w:rPr>
            </w:pPr>
            <w:r>
              <w:rPr>
                <w:rFonts w:ascii="Aptos" w:hAnsi="Aptos"/>
                <w:color w:val="1F3864" w:themeColor="accent1" w:themeShade="80"/>
              </w:rPr>
              <w:t xml:space="preserve">How is this </w:t>
            </w:r>
            <w:r w:rsidR="00B0635B">
              <w:rPr>
                <w:rFonts w:ascii="Aptos" w:hAnsi="Aptos"/>
                <w:color w:val="1F3864" w:themeColor="accent1" w:themeShade="80"/>
              </w:rPr>
              <w:t>realized in the RED</w:t>
            </w:r>
            <w:r w:rsidR="000E4EFD" w:rsidRPr="000E4EFD">
              <w:rPr>
                <w:rFonts w:ascii="Aptos" w:hAnsi="Aptos"/>
                <w:color w:val="1F3864" w:themeColor="accent1" w:themeShade="80"/>
              </w:rPr>
              <w:t>?</w:t>
            </w:r>
          </w:p>
        </w:tc>
      </w:tr>
      <w:tr w:rsidR="00DF75DD" w:rsidRPr="005F4805" w14:paraId="7721AB69" w14:textId="77777777" w:rsidTr="000E4EFD">
        <w:tc>
          <w:tcPr>
            <w:tcW w:w="562" w:type="dxa"/>
          </w:tcPr>
          <w:p w14:paraId="6D3D1AAF" w14:textId="77777777" w:rsidR="00DF75DD" w:rsidRPr="005F4805" w:rsidRDefault="00DF75DD" w:rsidP="00DF75DD">
            <w:pPr>
              <w:pStyle w:val="ListParagraph"/>
              <w:numPr>
                <w:ilvl w:val="0"/>
                <w:numId w:val="1"/>
              </w:numPr>
              <w:tabs>
                <w:tab w:val="left" w:pos="531"/>
              </w:tabs>
              <w:spacing w:before="0" w:line="276" w:lineRule="auto"/>
              <w:ind w:right="792"/>
              <w:jc w:val="both"/>
              <w:rPr>
                <w:rFonts w:ascii="Aptos" w:hAnsi="Aptos"/>
                <w:color w:val="231F20"/>
                <w:w w:val="110"/>
              </w:rPr>
            </w:pPr>
          </w:p>
        </w:tc>
        <w:tc>
          <w:tcPr>
            <w:tcW w:w="4820" w:type="dxa"/>
          </w:tcPr>
          <w:p w14:paraId="6F2D44E2" w14:textId="29FC40E6" w:rsidR="00DF75DD" w:rsidRPr="005F4805" w:rsidRDefault="000D58A9" w:rsidP="00DF75DD">
            <w:pPr>
              <w:spacing w:line="276" w:lineRule="auto"/>
              <w:jc w:val="both"/>
              <w:rPr>
                <w:rFonts w:ascii="Aptos" w:hAnsi="Aptos"/>
              </w:rPr>
            </w:pPr>
            <w:r>
              <w:rPr>
                <w:rFonts w:ascii="Aptos" w:hAnsi="Aptos"/>
              </w:rPr>
              <w:t>T</w:t>
            </w:r>
            <w:r w:rsidR="00DF75DD" w:rsidRPr="00307B53">
              <w:rPr>
                <w:rFonts w:ascii="Aptos" w:hAnsi="Aptos"/>
              </w:rPr>
              <w:t>o engage in a systematic study of the mystery of God, of the life and teaching of Jesus Christ, the teachings of the Church, the central beliefs that Catholics hold, the basis for them and the relationship between faith and life</w:t>
            </w:r>
          </w:p>
        </w:tc>
        <w:tc>
          <w:tcPr>
            <w:tcW w:w="3634" w:type="dxa"/>
          </w:tcPr>
          <w:p w14:paraId="61A94DE4" w14:textId="024FCE23" w:rsidR="00DF75DD" w:rsidRDefault="000E4EFD" w:rsidP="004B4A5C">
            <w:pPr>
              <w:spacing w:line="276" w:lineRule="auto"/>
              <w:jc w:val="both"/>
              <w:rPr>
                <w:rFonts w:ascii="Aptos" w:hAnsi="Aptos"/>
              </w:rPr>
            </w:pPr>
            <w:r w:rsidRPr="004B4A5C">
              <w:rPr>
                <w:rFonts w:ascii="Aptos" w:hAnsi="Aptos"/>
              </w:rPr>
              <w:t xml:space="preserve">Taught in </w:t>
            </w:r>
            <w:r w:rsidR="00DF75DD" w:rsidRPr="004B4A5C">
              <w:rPr>
                <w:rFonts w:ascii="Aptos" w:hAnsi="Aptos"/>
              </w:rPr>
              <w:t>Branches 1-5</w:t>
            </w:r>
            <w:r w:rsidRPr="004B4A5C">
              <w:rPr>
                <w:rFonts w:ascii="Aptos" w:hAnsi="Aptos"/>
              </w:rPr>
              <w:t xml:space="preserve"> through the lenses of </w:t>
            </w:r>
            <w:proofErr w:type="gramStart"/>
            <w:r w:rsidR="00DF75DD" w:rsidRPr="00CB1B60">
              <w:rPr>
                <w:rFonts w:ascii="Aptos" w:hAnsi="Aptos"/>
                <w:i/>
                <w:iCs/>
              </w:rPr>
              <w:t>Hear</w:t>
            </w:r>
            <w:proofErr w:type="gramEnd"/>
            <w:r w:rsidR="00DF75DD" w:rsidRPr="00CB1B60">
              <w:rPr>
                <w:rFonts w:ascii="Aptos" w:hAnsi="Aptos"/>
                <w:i/>
                <w:iCs/>
              </w:rPr>
              <w:t xml:space="preserve">, </w:t>
            </w:r>
            <w:r w:rsidRPr="00CB1B60">
              <w:rPr>
                <w:rFonts w:ascii="Aptos" w:hAnsi="Aptos"/>
                <w:i/>
                <w:iCs/>
              </w:rPr>
              <w:t>B</w:t>
            </w:r>
            <w:r w:rsidR="00DF75DD" w:rsidRPr="00CB1B60">
              <w:rPr>
                <w:rFonts w:ascii="Aptos" w:hAnsi="Aptos"/>
                <w:i/>
                <w:iCs/>
              </w:rPr>
              <w:t xml:space="preserve">elieve, </w:t>
            </w:r>
            <w:r w:rsidRPr="00CB1B60">
              <w:rPr>
                <w:rFonts w:ascii="Aptos" w:hAnsi="Aptos"/>
                <w:i/>
                <w:iCs/>
              </w:rPr>
              <w:t>C</w:t>
            </w:r>
            <w:r w:rsidR="00DF75DD" w:rsidRPr="00CB1B60">
              <w:rPr>
                <w:rFonts w:ascii="Aptos" w:hAnsi="Aptos"/>
                <w:i/>
                <w:iCs/>
              </w:rPr>
              <w:t xml:space="preserve">elebrate, </w:t>
            </w:r>
            <w:r w:rsidRPr="00CB1B60">
              <w:rPr>
                <w:rFonts w:ascii="Aptos" w:hAnsi="Aptos"/>
                <w:i/>
                <w:iCs/>
              </w:rPr>
              <w:t>L</w:t>
            </w:r>
            <w:r w:rsidR="00DF75DD" w:rsidRPr="00CB1B60">
              <w:rPr>
                <w:rFonts w:ascii="Aptos" w:hAnsi="Aptos"/>
                <w:i/>
                <w:iCs/>
              </w:rPr>
              <w:t xml:space="preserve">ive </w:t>
            </w:r>
          </w:p>
          <w:p w14:paraId="746C34E1" w14:textId="77777777" w:rsidR="004B4A5C" w:rsidRPr="004B4A5C" w:rsidRDefault="004B4A5C" w:rsidP="004B4A5C">
            <w:pPr>
              <w:spacing w:line="276" w:lineRule="auto"/>
              <w:jc w:val="both"/>
              <w:rPr>
                <w:rFonts w:ascii="Aptos" w:hAnsi="Aptos"/>
              </w:rPr>
            </w:pPr>
          </w:p>
          <w:p w14:paraId="18790E2E" w14:textId="29C642B8" w:rsidR="00DF75DD" w:rsidRPr="005F4805" w:rsidRDefault="000E4EFD" w:rsidP="00DF75DD">
            <w:pPr>
              <w:spacing w:line="276" w:lineRule="auto"/>
              <w:jc w:val="both"/>
              <w:rPr>
                <w:rFonts w:ascii="Aptos" w:hAnsi="Aptos"/>
              </w:rPr>
            </w:pPr>
            <w:r>
              <w:rPr>
                <w:rFonts w:ascii="Aptos" w:hAnsi="Aptos"/>
              </w:rPr>
              <w:t xml:space="preserve">Taught in </w:t>
            </w:r>
            <w:r w:rsidR="00DF75DD" w:rsidRPr="000E4EFD">
              <w:rPr>
                <w:rFonts w:ascii="Aptos" w:hAnsi="Aptos"/>
              </w:rPr>
              <w:t xml:space="preserve">Branch 6 </w:t>
            </w:r>
            <w:r>
              <w:rPr>
                <w:rFonts w:ascii="Aptos" w:hAnsi="Aptos"/>
              </w:rPr>
              <w:t xml:space="preserve">through the </w:t>
            </w:r>
            <w:r w:rsidR="00DF75DD" w:rsidRPr="00CB1B60">
              <w:rPr>
                <w:rFonts w:ascii="Aptos" w:hAnsi="Aptos"/>
                <w:i/>
                <w:iCs/>
              </w:rPr>
              <w:t>Dialogue</w:t>
            </w:r>
            <w:r w:rsidR="00DF75DD" w:rsidRPr="000E4EFD">
              <w:rPr>
                <w:rFonts w:ascii="Aptos" w:hAnsi="Aptos"/>
              </w:rPr>
              <w:t xml:space="preserve"> </w:t>
            </w:r>
            <w:r>
              <w:rPr>
                <w:rFonts w:ascii="Aptos" w:hAnsi="Aptos"/>
              </w:rPr>
              <w:t>lens</w:t>
            </w:r>
          </w:p>
        </w:tc>
      </w:tr>
      <w:tr w:rsidR="00DF75DD" w:rsidRPr="005F4805" w14:paraId="27351C97" w14:textId="77777777" w:rsidTr="000E4EFD">
        <w:tc>
          <w:tcPr>
            <w:tcW w:w="562" w:type="dxa"/>
          </w:tcPr>
          <w:p w14:paraId="6A2420DB" w14:textId="77777777" w:rsidR="00DF75DD" w:rsidRPr="005F4805" w:rsidRDefault="00DF75DD" w:rsidP="00DF75DD">
            <w:pPr>
              <w:pStyle w:val="ListParagraph"/>
              <w:numPr>
                <w:ilvl w:val="0"/>
                <w:numId w:val="1"/>
              </w:numPr>
              <w:tabs>
                <w:tab w:val="left" w:pos="531"/>
              </w:tabs>
              <w:spacing w:before="28" w:line="276" w:lineRule="auto"/>
              <w:ind w:right="1002"/>
              <w:jc w:val="both"/>
              <w:rPr>
                <w:rFonts w:ascii="Aptos" w:hAnsi="Aptos"/>
                <w:color w:val="231F20"/>
                <w:w w:val="110"/>
              </w:rPr>
            </w:pPr>
          </w:p>
        </w:tc>
        <w:tc>
          <w:tcPr>
            <w:tcW w:w="4820" w:type="dxa"/>
          </w:tcPr>
          <w:p w14:paraId="328272AF" w14:textId="35FA4F9B" w:rsidR="00DF75DD" w:rsidRPr="005F4805" w:rsidRDefault="004B4A5C" w:rsidP="00DF75DD">
            <w:pPr>
              <w:spacing w:line="276" w:lineRule="auto"/>
              <w:jc w:val="both"/>
              <w:rPr>
                <w:rFonts w:ascii="Aptos" w:hAnsi="Aptos"/>
              </w:rPr>
            </w:pPr>
            <w:r>
              <w:rPr>
                <w:rFonts w:ascii="Aptos" w:hAnsi="Aptos"/>
              </w:rPr>
              <w:t>T</w:t>
            </w:r>
            <w:r w:rsidR="000E4EFD" w:rsidRPr="00307B53">
              <w:rPr>
                <w:rFonts w:ascii="Aptos" w:hAnsi="Aptos"/>
              </w:rPr>
              <w:t>o enable pupils continually to deepen their religious and theological understanding and be able to communicate this effectively</w:t>
            </w:r>
          </w:p>
        </w:tc>
        <w:tc>
          <w:tcPr>
            <w:tcW w:w="3634" w:type="dxa"/>
          </w:tcPr>
          <w:p w14:paraId="588789BC" w14:textId="77777777" w:rsidR="000E4EFD" w:rsidRDefault="000E4EFD" w:rsidP="000E4EFD">
            <w:pPr>
              <w:spacing w:line="276" w:lineRule="auto"/>
              <w:jc w:val="both"/>
              <w:rPr>
                <w:rFonts w:ascii="Aptos" w:hAnsi="Aptos"/>
              </w:rPr>
            </w:pPr>
            <w:r>
              <w:rPr>
                <w:rFonts w:ascii="Aptos" w:hAnsi="Aptos"/>
              </w:rPr>
              <w:t>As above</w:t>
            </w:r>
          </w:p>
          <w:p w14:paraId="6A1BC91D" w14:textId="77777777" w:rsidR="004B4A5C" w:rsidRDefault="004B4A5C" w:rsidP="000E4EFD">
            <w:pPr>
              <w:spacing w:line="276" w:lineRule="auto"/>
              <w:jc w:val="both"/>
              <w:rPr>
                <w:rFonts w:ascii="Aptos" w:hAnsi="Aptos"/>
              </w:rPr>
            </w:pPr>
          </w:p>
          <w:p w14:paraId="049A1C1C" w14:textId="2C5A2125" w:rsidR="000E4EFD" w:rsidRPr="000E4EFD" w:rsidRDefault="000E4EFD" w:rsidP="000E4EFD">
            <w:pPr>
              <w:spacing w:line="276" w:lineRule="auto"/>
              <w:jc w:val="both"/>
              <w:rPr>
                <w:rFonts w:ascii="Aptos" w:hAnsi="Aptos"/>
              </w:rPr>
            </w:pPr>
            <w:r>
              <w:rPr>
                <w:rFonts w:ascii="Aptos" w:hAnsi="Aptos"/>
              </w:rPr>
              <w:t xml:space="preserve">Learning opportunities to engage with the </w:t>
            </w:r>
            <w:r w:rsidRPr="00CB1B60">
              <w:rPr>
                <w:rFonts w:ascii="Aptos" w:hAnsi="Aptos"/>
                <w:i/>
                <w:iCs/>
              </w:rPr>
              <w:t>Ways of Knowing</w:t>
            </w:r>
            <w:r>
              <w:rPr>
                <w:rFonts w:ascii="Aptos" w:hAnsi="Aptos"/>
              </w:rPr>
              <w:t xml:space="preserve"> within the progressive curriculum will enable this</w:t>
            </w:r>
          </w:p>
        </w:tc>
      </w:tr>
      <w:tr w:rsidR="00DF75DD" w:rsidRPr="005F4805" w14:paraId="5C3C5518" w14:textId="77777777" w:rsidTr="000E4EFD">
        <w:tc>
          <w:tcPr>
            <w:tcW w:w="562" w:type="dxa"/>
          </w:tcPr>
          <w:p w14:paraId="38206302" w14:textId="77777777" w:rsidR="00DF75DD" w:rsidRPr="005F4805" w:rsidRDefault="00DF75DD" w:rsidP="00DF75DD">
            <w:pPr>
              <w:pStyle w:val="ListParagraph"/>
              <w:numPr>
                <w:ilvl w:val="0"/>
                <w:numId w:val="1"/>
              </w:numPr>
              <w:tabs>
                <w:tab w:val="left" w:pos="531"/>
              </w:tabs>
              <w:spacing w:before="28" w:line="276" w:lineRule="auto"/>
              <w:ind w:right="1042"/>
              <w:jc w:val="both"/>
              <w:rPr>
                <w:rFonts w:ascii="Aptos" w:hAnsi="Aptos"/>
                <w:color w:val="231F20"/>
                <w:spacing w:val="-2"/>
                <w:w w:val="115"/>
              </w:rPr>
            </w:pPr>
          </w:p>
        </w:tc>
        <w:tc>
          <w:tcPr>
            <w:tcW w:w="4820" w:type="dxa"/>
          </w:tcPr>
          <w:p w14:paraId="19895A40" w14:textId="62B67690" w:rsidR="00DF75DD" w:rsidRPr="005F4805" w:rsidRDefault="004B4A5C" w:rsidP="00DF75DD">
            <w:pPr>
              <w:spacing w:line="276" w:lineRule="auto"/>
              <w:jc w:val="both"/>
              <w:rPr>
                <w:rFonts w:ascii="Aptos" w:hAnsi="Aptos"/>
              </w:rPr>
            </w:pPr>
            <w:r>
              <w:rPr>
                <w:rFonts w:ascii="Aptos" w:hAnsi="Aptos"/>
              </w:rPr>
              <w:t>T</w:t>
            </w:r>
            <w:r w:rsidR="000E4EFD" w:rsidRPr="00307B53">
              <w:rPr>
                <w:rFonts w:ascii="Aptos" w:hAnsi="Aptos"/>
              </w:rPr>
              <w:t>o present an authentic vision of the Church’s moral and social teaching to provide pupils with a sure guide for living and the tools to critically engage with contemporary culture and society</w:t>
            </w:r>
          </w:p>
        </w:tc>
        <w:tc>
          <w:tcPr>
            <w:tcW w:w="3634" w:type="dxa"/>
          </w:tcPr>
          <w:p w14:paraId="2BBC23BA" w14:textId="742105D2" w:rsidR="00CB1B60" w:rsidRDefault="000E4EFD" w:rsidP="00DF75DD">
            <w:pPr>
              <w:spacing w:line="276" w:lineRule="auto"/>
              <w:jc w:val="both"/>
              <w:rPr>
                <w:rFonts w:ascii="Aptos" w:hAnsi="Aptos"/>
              </w:rPr>
            </w:pPr>
            <w:r>
              <w:rPr>
                <w:rFonts w:ascii="Aptos" w:hAnsi="Aptos"/>
              </w:rPr>
              <w:t xml:space="preserve">Through the </w:t>
            </w:r>
            <w:r w:rsidRPr="003D2A29">
              <w:rPr>
                <w:rFonts w:ascii="Aptos" w:hAnsi="Aptos"/>
                <w:i/>
                <w:iCs/>
              </w:rPr>
              <w:t>Ways of Knowing</w:t>
            </w:r>
            <w:r w:rsidR="003D2A29" w:rsidRPr="003D2A29">
              <w:rPr>
                <w:rFonts w:ascii="Aptos" w:hAnsi="Aptos"/>
              </w:rPr>
              <w:t>:</w:t>
            </w:r>
            <w:r w:rsidRPr="003D2A29">
              <w:rPr>
                <w:rFonts w:ascii="Aptos" w:hAnsi="Aptos"/>
                <w:i/>
                <w:iCs/>
              </w:rPr>
              <w:t xml:space="preserve"> </w:t>
            </w:r>
            <w:r w:rsidRPr="00CB1B60">
              <w:rPr>
                <w:rFonts w:ascii="Aptos" w:hAnsi="Aptos"/>
                <w:i/>
                <w:iCs/>
              </w:rPr>
              <w:t>Understand</w:t>
            </w:r>
            <w:r>
              <w:rPr>
                <w:rFonts w:ascii="Aptos" w:hAnsi="Aptos"/>
              </w:rPr>
              <w:t xml:space="preserve"> the Church’s moral and social teaching</w:t>
            </w:r>
          </w:p>
          <w:p w14:paraId="1A78088F" w14:textId="77777777" w:rsidR="001B25F6" w:rsidRDefault="001B25F6" w:rsidP="00DF75DD">
            <w:pPr>
              <w:spacing w:line="276" w:lineRule="auto"/>
              <w:jc w:val="both"/>
              <w:rPr>
                <w:rFonts w:ascii="Aptos" w:hAnsi="Aptos"/>
              </w:rPr>
            </w:pPr>
          </w:p>
          <w:p w14:paraId="63162826" w14:textId="297F8BC9" w:rsidR="00CB1B60" w:rsidRDefault="000E4EFD" w:rsidP="00DF75DD">
            <w:pPr>
              <w:spacing w:line="276" w:lineRule="auto"/>
              <w:jc w:val="both"/>
              <w:rPr>
                <w:rFonts w:ascii="Aptos" w:hAnsi="Aptos"/>
              </w:rPr>
            </w:pPr>
            <w:r w:rsidRPr="00CB1B60">
              <w:rPr>
                <w:rFonts w:ascii="Aptos" w:hAnsi="Aptos"/>
                <w:i/>
                <w:iCs/>
              </w:rPr>
              <w:t xml:space="preserve">Discern </w:t>
            </w:r>
            <w:r>
              <w:rPr>
                <w:rFonts w:ascii="Aptos" w:hAnsi="Aptos"/>
              </w:rPr>
              <w:t>how this teaching speaks to culture and society</w:t>
            </w:r>
          </w:p>
          <w:p w14:paraId="66A07FFB" w14:textId="77777777" w:rsidR="001B25F6" w:rsidRDefault="001B25F6" w:rsidP="00DF75DD">
            <w:pPr>
              <w:spacing w:line="276" w:lineRule="auto"/>
              <w:jc w:val="both"/>
              <w:rPr>
                <w:rFonts w:ascii="Aptos" w:hAnsi="Aptos"/>
              </w:rPr>
            </w:pPr>
          </w:p>
          <w:p w14:paraId="45580172" w14:textId="640F2972" w:rsidR="00DF75DD" w:rsidRPr="005F4805" w:rsidRDefault="000E4EFD" w:rsidP="00DF75DD">
            <w:pPr>
              <w:spacing w:line="276" w:lineRule="auto"/>
              <w:jc w:val="both"/>
              <w:rPr>
                <w:rFonts w:ascii="Aptos" w:hAnsi="Aptos"/>
              </w:rPr>
            </w:pPr>
            <w:r w:rsidRPr="00CB1B60">
              <w:rPr>
                <w:rFonts w:ascii="Aptos" w:hAnsi="Aptos"/>
                <w:i/>
                <w:iCs/>
              </w:rPr>
              <w:t>Respond</w:t>
            </w:r>
            <w:r>
              <w:rPr>
                <w:rFonts w:ascii="Aptos" w:hAnsi="Aptos"/>
              </w:rPr>
              <w:t xml:space="preserve"> in a way that is transformational</w:t>
            </w:r>
          </w:p>
        </w:tc>
      </w:tr>
      <w:tr w:rsidR="00DF75DD" w:rsidRPr="005F4805" w14:paraId="7EFFFC4D" w14:textId="77777777" w:rsidTr="000E4EFD">
        <w:tc>
          <w:tcPr>
            <w:tcW w:w="562" w:type="dxa"/>
          </w:tcPr>
          <w:p w14:paraId="0C7B293E" w14:textId="77777777" w:rsidR="00DF75DD" w:rsidRPr="005F4805" w:rsidRDefault="00DF75DD" w:rsidP="00DF75DD">
            <w:pPr>
              <w:pStyle w:val="ListParagraph"/>
              <w:numPr>
                <w:ilvl w:val="0"/>
                <w:numId w:val="1"/>
              </w:numPr>
              <w:tabs>
                <w:tab w:val="left" w:pos="531"/>
              </w:tabs>
              <w:spacing w:before="27" w:line="276" w:lineRule="auto"/>
              <w:ind w:right="738"/>
              <w:jc w:val="both"/>
              <w:rPr>
                <w:rFonts w:ascii="Aptos" w:hAnsi="Aptos"/>
                <w:color w:val="231F20"/>
                <w:w w:val="110"/>
              </w:rPr>
            </w:pPr>
          </w:p>
        </w:tc>
        <w:tc>
          <w:tcPr>
            <w:tcW w:w="4820" w:type="dxa"/>
          </w:tcPr>
          <w:p w14:paraId="436C3802" w14:textId="3C4DB297" w:rsidR="00DF75DD" w:rsidRPr="005F4805" w:rsidRDefault="003D2A29" w:rsidP="00DF75DD">
            <w:pPr>
              <w:spacing w:line="276" w:lineRule="auto"/>
              <w:jc w:val="both"/>
              <w:rPr>
                <w:rFonts w:ascii="Aptos" w:hAnsi="Aptos"/>
              </w:rPr>
            </w:pPr>
            <w:r>
              <w:rPr>
                <w:rFonts w:ascii="Aptos" w:hAnsi="Aptos"/>
              </w:rPr>
              <w:t>T</w:t>
            </w:r>
            <w:r w:rsidR="000E4EFD" w:rsidRPr="00307B53">
              <w:rPr>
                <w:rFonts w:ascii="Aptos" w:hAnsi="Aptos"/>
              </w:rPr>
              <w:t>o give pupils an understanding of the religions and worldviews present in the world today and the skills to engage in respectful and fruitful dialogue with those whose worldviews differ from their own</w:t>
            </w:r>
          </w:p>
        </w:tc>
        <w:tc>
          <w:tcPr>
            <w:tcW w:w="3634" w:type="dxa"/>
          </w:tcPr>
          <w:p w14:paraId="743E6C2C" w14:textId="0FF27DC1" w:rsidR="00133842" w:rsidRPr="00133842" w:rsidRDefault="00133842" w:rsidP="00133842">
            <w:pPr>
              <w:spacing w:line="276" w:lineRule="auto"/>
              <w:jc w:val="both"/>
              <w:rPr>
                <w:rFonts w:ascii="Aptos" w:hAnsi="Aptos"/>
              </w:rPr>
            </w:pPr>
            <w:r>
              <w:rPr>
                <w:rFonts w:ascii="Aptos" w:hAnsi="Aptos"/>
              </w:rPr>
              <w:t xml:space="preserve">Taught in </w:t>
            </w:r>
            <w:r w:rsidRPr="00133842">
              <w:rPr>
                <w:rFonts w:ascii="Aptos" w:hAnsi="Aptos"/>
              </w:rPr>
              <w:t xml:space="preserve">Branch 6 </w:t>
            </w:r>
            <w:r>
              <w:rPr>
                <w:rFonts w:ascii="Aptos" w:hAnsi="Aptos"/>
              </w:rPr>
              <w:t xml:space="preserve">through the lenses of </w:t>
            </w:r>
            <w:r w:rsidRPr="003D2A29">
              <w:rPr>
                <w:rFonts w:ascii="Aptos" w:hAnsi="Aptos"/>
                <w:i/>
                <w:iCs/>
              </w:rPr>
              <w:t xml:space="preserve">Dialogue </w:t>
            </w:r>
            <w:r w:rsidRPr="00133842">
              <w:rPr>
                <w:rFonts w:ascii="Aptos" w:hAnsi="Aptos"/>
              </w:rPr>
              <w:t xml:space="preserve">and </w:t>
            </w:r>
            <w:r w:rsidRPr="003D2A29">
              <w:rPr>
                <w:rFonts w:ascii="Aptos" w:hAnsi="Aptos"/>
                <w:i/>
                <w:iCs/>
              </w:rPr>
              <w:t>Encounter</w:t>
            </w:r>
          </w:p>
          <w:p w14:paraId="29AD78CC" w14:textId="77777777" w:rsidR="00DF75DD" w:rsidRPr="005F4805" w:rsidRDefault="00DF75DD" w:rsidP="00DF75DD">
            <w:pPr>
              <w:spacing w:line="276" w:lineRule="auto"/>
              <w:jc w:val="both"/>
              <w:rPr>
                <w:rFonts w:ascii="Aptos" w:hAnsi="Aptos"/>
              </w:rPr>
            </w:pPr>
          </w:p>
        </w:tc>
      </w:tr>
      <w:tr w:rsidR="00DF75DD" w:rsidRPr="005F4805" w14:paraId="7CB16882" w14:textId="77777777" w:rsidTr="000E4EFD">
        <w:tc>
          <w:tcPr>
            <w:tcW w:w="562" w:type="dxa"/>
          </w:tcPr>
          <w:p w14:paraId="270810AF" w14:textId="77777777" w:rsidR="00DF75DD" w:rsidRPr="005F4805" w:rsidRDefault="00DF75DD" w:rsidP="00DF75DD">
            <w:pPr>
              <w:pStyle w:val="ListParagraph"/>
              <w:numPr>
                <w:ilvl w:val="0"/>
                <w:numId w:val="1"/>
              </w:numPr>
              <w:tabs>
                <w:tab w:val="left" w:pos="531"/>
              </w:tabs>
              <w:spacing w:before="27" w:line="276" w:lineRule="auto"/>
              <w:ind w:right="738"/>
              <w:jc w:val="both"/>
              <w:rPr>
                <w:rFonts w:ascii="Aptos" w:hAnsi="Aptos"/>
                <w:color w:val="231F20"/>
                <w:w w:val="110"/>
              </w:rPr>
            </w:pPr>
          </w:p>
        </w:tc>
        <w:tc>
          <w:tcPr>
            <w:tcW w:w="4820" w:type="dxa"/>
          </w:tcPr>
          <w:p w14:paraId="5100DCD2" w14:textId="0EA698B4" w:rsidR="00DF75DD" w:rsidRPr="005F4805" w:rsidRDefault="00F61954" w:rsidP="00DF75DD">
            <w:pPr>
              <w:spacing w:line="276" w:lineRule="auto"/>
              <w:jc w:val="both"/>
              <w:rPr>
                <w:rFonts w:ascii="Aptos" w:hAnsi="Aptos"/>
              </w:rPr>
            </w:pPr>
            <w:r>
              <w:rPr>
                <w:rFonts w:ascii="Aptos" w:hAnsi="Aptos"/>
              </w:rPr>
              <w:t>T</w:t>
            </w:r>
            <w:r w:rsidR="000E4EFD" w:rsidRPr="00307B53">
              <w:rPr>
                <w:rFonts w:ascii="Aptos" w:hAnsi="Aptos"/>
              </w:rPr>
              <w:t>o develop the critical faculties of pupils so to bring clarity to the relationship between faith and life, and between faith and culture;</w:t>
            </w:r>
          </w:p>
        </w:tc>
        <w:tc>
          <w:tcPr>
            <w:tcW w:w="3634" w:type="dxa"/>
          </w:tcPr>
          <w:p w14:paraId="6CB87D72" w14:textId="7F8F4126" w:rsidR="00DF75DD" w:rsidRPr="00133842" w:rsidRDefault="00133842" w:rsidP="00133842">
            <w:pPr>
              <w:spacing w:line="276" w:lineRule="auto"/>
              <w:jc w:val="both"/>
              <w:rPr>
                <w:rFonts w:ascii="Aptos" w:hAnsi="Aptos"/>
              </w:rPr>
            </w:pPr>
            <w:r>
              <w:rPr>
                <w:rFonts w:ascii="Aptos" w:hAnsi="Aptos"/>
              </w:rPr>
              <w:t xml:space="preserve">Creative and critical thinking are foundational to </w:t>
            </w:r>
            <w:r w:rsidRPr="00F22C93">
              <w:rPr>
                <w:rFonts w:ascii="Aptos" w:hAnsi="Aptos"/>
                <w:i/>
                <w:iCs/>
              </w:rPr>
              <w:t>Discern</w:t>
            </w:r>
          </w:p>
        </w:tc>
      </w:tr>
      <w:tr w:rsidR="00DF75DD" w:rsidRPr="005F4805" w14:paraId="14DC7BBB" w14:textId="77777777" w:rsidTr="000E4EFD">
        <w:tc>
          <w:tcPr>
            <w:tcW w:w="562" w:type="dxa"/>
          </w:tcPr>
          <w:p w14:paraId="2D03101A" w14:textId="77777777" w:rsidR="00DF75DD" w:rsidRPr="005F4805" w:rsidRDefault="00DF75DD" w:rsidP="00DF75DD">
            <w:pPr>
              <w:pStyle w:val="ListParagraph"/>
              <w:numPr>
                <w:ilvl w:val="0"/>
                <w:numId w:val="1"/>
              </w:numPr>
              <w:tabs>
                <w:tab w:val="left" w:pos="531"/>
              </w:tabs>
              <w:spacing w:before="28" w:line="276" w:lineRule="auto"/>
              <w:ind w:right="1120"/>
              <w:jc w:val="both"/>
              <w:rPr>
                <w:rFonts w:ascii="Aptos" w:hAnsi="Aptos"/>
                <w:color w:val="231F20"/>
              </w:rPr>
            </w:pPr>
          </w:p>
        </w:tc>
        <w:tc>
          <w:tcPr>
            <w:tcW w:w="4820" w:type="dxa"/>
          </w:tcPr>
          <w:p w14:paraId="42699742" w14:textId="133EBD24" w:rsidR="00DF75DD" w:rsidRPr="005F4805" w:rsidRDefault="00F22C93" w:rsidP="00DF75DD">
            <w:pPr>
              <w:spacing w:line="276" w:lineRule="auto"/>
              <w:jc w:val="both"/>
              <w:rPr>
                <w:rFonts w:ascii="Aptos" w:hAnsi="Aptos"/>
              </w:rPr>
            </w:pPr>
            <w:r>
              <w:rPr>
                <w:rFonts w:ascii="Aptos" w:hAnsi="Aptos"/>
              </w:rPr>
              <w:t>T</w:t>
            </w:r>
            <w:r w:rsidR="000E4EFD" w:rsidRPr="00307B53">
              <w:rPr>
                <w:rFonts w:ascii="Aptos" w:hAnsi="Aptos"/>
              </w:rPr>
              <w:t>o stimulate pupils’ imagination</w:t>
            </w:r>
            <w:r w:rsidR="00414E53">
              <w:rPr>
                <w:rFonts w:ascii="Aptos" w:hAnsi="Aptos"/>
              </w:rPr>
              <w:t>s</w:t>
            </w:r>
            <w:r w:rsidR="000E4EFD" w:rsidRPr="00307B53">
              <w:rPr>
                <w:rFonts w:ascii="Aptos" w:hAnsi="Aptos"/>
              </w:rPr>
              <w:t xml:space="preserve"> and provoke a desire for personal meaning as revealed in the truth of the Catholic faith</w:t>
            </w:r>
          </w:p>
        </w:tc>
        <w:tc>
          <w:tcPr>
            <w:tcW w:w="3634" w:type="dxa"/>
          </w:tcPr>
          <w:p w14:paraId="67DC98BD" w14:textId="6F1A1CD3" w:rsidR="00DF75DD" w:rsidRPr="005F4805" w:rsidRDefault="00133842" w:rsidP="00DF75DD">
            <w:pPr>
              <w:spacing w:line="276" w:lineRule="auto"/>
              <w:jc w:val="both"/>
              <w:rPr>
                <w:rFonts w:ascii="Aptos" w:hAnsi="Aptos"/>
              </w:rPr>
            </w:pPr>
            <w:r w:rsidRPr="00F22C93">
              <w:rPr>
                <w:rFonts w:ascii="Aptos" w:hAnsi="Aptos"/>
                <w:i/>
                <w:iCs/>
              </w:rPr>
              <w:t>Respond</w:t>
            </w:r>
            <w:r>
              <w:rPr>
                <w:rFonts w:ascii="Aptos" w:hAnsi="Aptos"/>
              </w:rPr>
              <w:t xml:space="preserve"> provides a space for children and young people to explore possibilities as they develop their own world view </w:t>
            </w:r>
          </w:p>
        </w:tc>
      </w:tr>
      <w:tr w:rsidR="00DF75DD" w:rsidRPr="005F4805" w14:paraId="2B76A7BD" w14:textId="77777777" w:rsidTr="000E4EFD">
        <w:tc>
          <w:tcPr>
            <w:tcW w:w="562" w:type="dxa"/>
          </w:tcPr>
          <w:p w14:paraId="0DE8A9F2" w14:textId="77777777" w:rsidR="00DF75DD" w:rsidRPr="005F4805" w:rsidRDefault="00DF75DD" w:rsidP="00DF75DD">
            <w:pPr>
              <w:pStyle w:val="ListParagraph"/>
              <w:numPr>
                <w:ilvl w:val="0"/>
                <w:numId w:val="1"/>
              </w:numPr>
              <w:tabs>
                <w:tab w:val="left" w:pos="531"/>
              </w:tabs>
              <w:spacing w:before="28" w:line="276" w:lineRule="auto"/>
              <w:ind w:right="798"/>
              <w:jc w:val="both"/>
              <w:rPr>
                <w:rFonts w:ascii="Aptos" w:hAnsi="Aptos"/>
                <w:color w:val="231F20"/>
                <w:w w:val="110"/>
              </w:rPr>
            </w:pPr>
          </w:p>
        </w:tc>
        <w:tc>
          <w:tcPr>
            <w:tcW w:w="4820" w:type="dxa"/>
          </w:tcPr>
          <w:p w14:paraId="71D62F7A" w14:textId="2039E39F" w:rsidR="00DF75DD" w:rsidRPr="005F4805" w:rsidRDefault="00F22C93" w:rsidP="00DF75DD">
            <w:pPr>
              <w:spacing w:line="276" w:lineRule="auto"/>
              <w:jc w:val="both"/>
              <w:rPr>
                <w:rFonts w:ascii="Aptos" w:hAnsi="Aptos"/>
              </w:rPr>
            </w:pPr>
            <w:r>
              <w:rPr>
                <w:rFonts w:ascii="Aptos" w:hAnsi="Aptos"/>
              </w:rPr>
              <w:t>T</w:t>
            </w:r>
            <w:r w:rsidR="000E4EFD" w:rsidRPr="00307B53">
              <w:rPr>
                <w:rFonts w:ascii="Aptos" w:hAnsi="Aptos"/>
              </w:rPr>
              <w:t>o enable pupils to relate the knowledge gained through religious education to their understanding of other subjects in the curriculum</w:t>
            </w:r>
          </w:p>
        </w:tc>
        <w:tc>
          <w:tcPr>
            <w:tcW w:w="3634" w:type="dxa"/>
          </w:tcPr>
          <w:p w14:paraId="40E850F5" w14:textId="100A7A29" w:rsidR="00DF75DD" w:rsidRPr="005F4805" w:rsidRDefault="00133842" w:rsidP="00DF75DD">
            <w:pPr>
              <w:spacing w:line="276" w:lineRule="auto"/>
              <w:jc w:val="both"/>
              <w:rPr>
                <w:rFonts w:ascii="Aptos" w:hAnsi="Aptos"/>
              </w:rPr>
            </w:pPr>
            <w:r w:rsidRPr="00F22C93">
              <w:rPr>
                <w:rFonts w:ascii="Aptos" w:hAnsi="Aptos"/>
                <w:i/>
                <w:iCs/>
              </w:rPr>
              <w:t>Ways of Knowing</w:t>
            </w:r>
            <w:r>
              <w:rPr>
                <w:rFonts w:ascii="Aptos" w:hAnsi="Aptos"/>
              </w:rPr>
              <w:t xml:space="preserve"> are skills for life, not simply for the RE classroom</w:t>
            </w:r>
          </w:p>
        </w:tc>
      </w:tr>
    </w:tbl>
    <w:p w14:paraId="6B5000A9" w14:textId="77777777" w:rsidR="00C71B48" w:rsidRPr="005F4805" w:rsidRDefault="00C71B48" w:rsidP="00AE1A68">
      <w:pPr>
        <w:jc w:val="both"/>
        <w:rPr>
          <w:rFonts w:ascii="Aptos" w:hAnsi="Aptos"/>
        </w:rPr>
      </w:pPr>
    </w:p>
    <w:p w14:paraId="110251CA" w14:textId="77777777" w:rsidR="005615FA" w:rsidRPr="005F4805" w:rsidRDefault="005615FA" w:rsidP="00AE1A68">
      <w:pPr>
        <w:jc w:val="both"/>
        <w:rPr>
          <w:rFonts w:ascii="Aptos" w:hAnsi="Aptos"/>
          <w:color w:val="FF0000"/>
        </w:rPr>
      </w:pPr>
    </w:p>
    <w:p w14:paraId="05FD3995" w14:textId="294A19F2" w:rsidR="001343AB" w:rsidRPr="001B25F6" w:rsidRDefault="00CB30A9" w:rsidP="001B25F6">
      <w:pPr>
        <w:spacing w:after="0" w:line="240" w:lineRule="auto"/>
        <w:jc w:val="both"/>
        <w:rPr>
          <w:rFonts w:ascii="Aptos" w:eastAsia="Times New Roman" w:hAnsi="Aptos" w:cs="Calibri"/>
          <w:b/>
          <w:bCs/>
          <w:color w:val="1F3864" w:themeColor="accent1" w:themeShade="80"/>
        </w:rPr>
      </w:pPr>
      <w:r w:rsidRPr="001B25F6">
        <w:rPr>
          <w:rFonts w:ascii="Aptos" w:eastAsia="Times New Roman" w:hAnsi="Aptos" w:cs="Calibri"/>
          <w:b/>
          <w:bCs/>
          <w:color w:val="1F3864" w:themeColor="accent1" w:themeShade="80"/>
        </w:rPr>
        <w:t>What does the RED say about assessment?</w:t>
      </w:r>
    </w:p>
    <w:p w14:paraId="67BA5F09" w14:textId="56826DF4" w:rsidR="00C05472" w:rsidRDefault="00C05472" w:rsidP="001343AB">
      <w:pPr>
        <w:spacing w:after="0" w:line="240" w:lineRule="auto"/>
        <w:ind w:left="360"/>
        <w:jc w:val="both"/>
        <w:rPr>
          <w:rFonts w:ascii="Aptos" w:eastAsia="Times New Roman" w:hAnsi="Aptos" w:cs="Calibri"/>
        </w:rPr>
      </w:pPr>
    </w:p>
    <w:p w14:paraId="73DCBC53" w14:textId="546050A0" w:rsidR="00C05472" w:rsidRPr="0069508B" w:rsidRDefault="00C05472" w:rsidP="001B25F6">
      <w:pPr>
        <w:spacing w:after="0" w:line="240" w:lineRule="auto"/>
        <w:jc w:val="both"/>
        <w:rPr>
          <w:rFonts w:ascii="Aptos" w:eastAsia="Times New Roman" w:hAnsi="Aptos" w:cs="Calibri"/>
          <w:i/>
          <w:iCs/>
        </w:rPr>
      </w:pPr>
      <w:r>
        <w:rPr>
          <w:rFonts w:ascii="Aptos" w:eastAsia="Times New Roman" w:hAnsi="Aptos" w:cs="Calibri"/>
        </w:rPr>
        <w:t>‘</w:t>
      </w:r>
      <w:r w:rsidRPr="0069508B">
        <w:rPr>
          <w:rFonts w:ascii="Aptos" w:eastAsia="Times New Roman" w:hAnsi="Aptos" w:cs="Calibri"/>
          <w:i/>
          <w:iCs/>
        </w:rPr>
        <w:t>The ways of knowing describe the skills that pupils develop as they progress through the religious education curriculum. These ways of knowing supersede both the Age-related Standards</w:t>
      </w:r>
      <w:r>
        <w:rPr>
          <w:rFonts w:ascii="Aptos" w:eastAsia="Times New Roman" w:hAnsi="Aptos" w:cs="Calibri"/>
          <w:i/>
          <w:iCs/>
        </w:rPr>
        <w:t xml:space="preserve"> </w:t>
      </w:r>
      <w:r w:rsidRPr="0069508B">
        <w:rPr>
          <w:rFonts w:ascii="Aptos" w:eastAsia="Times New Roman" w:hAnsi="Aptos" w:cs="Calibri"/>
          <w:i/>
          <w:iCs/>
        </w:rPr>
        <w:t xml:space="preserve">and the Levels of Attainment in Religious Education, nevertheless it will be seen that the ways of knowing have evolved out of these two previous documents. We refer now to ways of knowing rather than standards or levels, since progress in religious education is not only something that concerns performance and summative assessment, which the previous implied. They are called ways of knowing since </w:t>
      </w:r>
      <w:r w:rsidRPr="0069508B">
        <w:rPr>
          <w:rFonts w:ascii="Aptos" w:eastAsia="Times New Roman" w:hAnsi="Aptos" w:cs="Calibri"/>
          <w:b/>
          <w:bCs/>
          <w:i/>
          <w:iCs/>
        </w:rPr>
        <w:t>they describe the holistic ways human beings experience education: as a growth in understanding, as a creative and critical assimilation, and as a recognition of the application of learning to one’s own life</w:t>
      </w:r>
      <w:r w:rsidRPr="0069508B">
        <w:rPr>
          <w:rFonts w:ascii="Aptos" w:eastAsia="Times New Roman" w:hAnsi="Aptos" w:cs="Calibri"/>
          <w:i/>
          <w:iCs/>
        </w:rPr>
        <w:t>. The three ways of knowing are ‘</w:t>
      </w:r>
      <w:proofErr w:type="gramStart"/>
      <w:r w:rsidRPr="0069508B">
        <w:rPr>
          <w:rFonts w:ascii="Aptos" w:eastAsia="Times New Roman" w:hAnsi="Aptos" w:cs="Calibri"/>
          <w:i/>
          <w:iCs/>
        </w:rPr>
        <w:t>understand</w:t>
      </w:r>
      <w:proofErr w:type="gramEnd"/>
      <w:r w:rsidRPr="0069508B">
        <w:rPr>
          <w:rFonts w:ascii="Aptos" w:eastAsia="Times New Roman" w:hAnsi="Aptos" w:cs="Calibri"/>
          <w:i/>
          <w:iCs/>
        </w:rPr>
        <w:t>’, ‘discern’, and ‘respond’</w:t>
      </w:r>
      <w:r w:rsidRPr="005A042F">
        <w:rPr>
          <w:rFonts w:ascii="Aptos" w:eastAsia="Times New Roman" w:hAnsi="Aptos" w:cs="Calibri"/>
        </w:rPr>
        <w:t>.</w:t>
      </w:r>
      <w:r>
        <w:rPr>
          <w:rFonts w:ascii="Aptos" w:eastAsia="Times New Roman" w:hAnsi="Aptos" w:cs="Calibri"/>
        </w:rPr>
        <w:t>’ (RED p35)</w:t>
      </w:r>
    </w:p>
    <w:p w14:paraId="7631B71B" w14:textId="77777777" w:rsidR="00C05472" w:rsidRDefault="00C05472" w:rsidP="00C05472">
      <w:pPr>
        <w:spacing w:after="0" w:line="240" w:lineRule="auto"/>
        <w:ind w:left="360"/>
        <w:jc w:val="both"/>
        <w:rPr>
          <w:rFonts w:ascii="Aptos" w:eastAsia="Times New Roman" w:hAnsi="Aptos" w:cs="Calibri"/>
        </w:rPr>
      </w:pPr>
    </w:p>
    <w:p w14:paraId="6C4A89DB" w14:textId="77777777" w:rsidR="00C05472" w:rsidRPr="00B03498" w:rsidRDefault="00C05472" w:rsidP="00F07DF3">
      <w:pPr>
        <w:spacing w:after="0" w:line="240" w:lineRule="auto"/>
        <w:jc w:val="both"/>
        <w:rPr>
          <w:rFonts w:ascii="Aptos" w:eastAsia="Times New Roman" w:hAnsi="Aptos" w:cs="Calibri"/>
          <w:i/>
          <w:iCs/>
        </w:rPr>
      </w:pPr>
      <w:r w:rsidRPr="00B03498">
        <w:rPr>
          <w:rFonts w:ascii="Aptos" w:eastAsia="Times New Roman" w:hAnsi="Aptos" w:cs="Calibri"/>
          <w:i/>
          <w:iCs/>
        </w:rPr>
        <w:t>‘The expected outcomes are a synthesis of the content outlined in the knowledge lenses and the skills described in the ways of knowing. Each age-phase will have a prescribed set of expected outcomes that will indicate what pupils are expected to know, remember and be</w:t>
      </w:r>
      <w:r w:rsidRPr="00B03498">
        <w:rPr>
          <w:rFonts w:ascii="Aptos" w:eastAsia="Times New Roman" w:hAnsi="Aptos" w:cs="Calibri"/>
        </w:rPr>
        <w:t xml:space="preserve"> </w:t>
      </w:r>
      <w:r w:rsidRPr="00B03498">
        <w:rPr>
          <w:rFonts w:ascii="Aptos" w:eastAsia="Times New Roman" w:hAnsi="Aptos" w:cs="Calibri"/>
          <w:i/>
          <w:iCs/>
        </w:rPr>
        <w:t>able to do, using the language of the ways of knowing and applying it to the discrete knowledge within each lens.</w:t>
      </w:r>
    </w:p>
    <w:p w14:paraId="02978AED" w14:textId="77777777" w:rsidR="00C05472" w:rsidRPr="00B03498" w:rsidRDefault="00C05472" w:rsidP="00C05472">
      <w:pPr>
        <w:spacing w:after="0" w:line="240" w:lineRule="auto"/>
        <w:ind w:left="360"/>
        <w:jc w:val="both"/>
        <w:rPr>
          <w:rFonts w:ascii="Aptos" w:eastAsia="Times New Roman" w:hAnsi="Aptos" w:cs="Calibri"/>
          <w:i/>
          <w:iCs/>
        </w:rPr>
      </w:pPr>
    </w:p>
    <w:p w14:paraId="0AB95D06" w14:textId="77777777" w:rsidR="00C05472" w:rsidRPr="00B03498" w:rsidRDefault="00C05472" w:rsidP="00652983">
      <w:pPr>
        <w:spacing w:after="0" w:line="240" w:lineRule="auto"/>
        <w:jc w:val="both"/>
        <w:rPr>
          <w:rFonts w:ascii="Aptos" w:eastAsia="Times New Roman" w:hAnsi="Aptos" w:cs="Calibri"/>
          <w:i/>
          <w:iCs/>
        </w:rPr>
      </w:pPr>
      <w:r w:rsidRPr="00B03498">
        <w:rPr>
          <w:rFonts w:ascii="Aptos" w:eastAsia="Times New Roman" w:hAnsi="Aptos" w:cs="Calibri"/>
          <w:i/>
          <w:iCs/>
        </w:rPr>
        <w:t xml:space="preserve">It is against these expected outcomes that schools will assess pupil progress, both formatively and </w:t>
      </w:r>
      <w:proofErr w:type="spellStart"/>
      <w:r w:rsidRPr="00B03498">
        <w:rPr>
          <w:rFonts w:ascii="Aptos" w:eastAsia="Times New Roman" w:hAnsi="Aptos" w:cs="Calibri"/>
          <w:i/>
          <w:iCs/>
        </w:rPr>
        <w:t>summatively</w:t>
      </w:r>
      <w:proofErr w:type="spellEnd"/>
      <w:r w:rsidRPr="00B03498">
        <w:rPr>
          <w:rFonts w:ascii="Aptos" w:eastAsia="Times New Roman" w:hAnsi="Aptos" w:cs="Calibri"/>
          <w:i/>
          <w:iCs/>
        </w:rPr>
        <w:t>. This directory does not prescribe a particular approach to assessment but does provide clear expectations for each age-phase that will allow meaningful assessment to occur.</w:t>
      </w:r>
    </w:p>
    <w:p w14:paraId="04326822" w14:textId="77777777" w:rsidR="00C05472" w:rsidRPr="00B03498" w:rsidRDefault="00C05472" w:rsidP="00C05472">
      <w:pPr>
        <w:spacing w:after="0" w:line="240" w:lineRule="auto"/>
        <w:ind w:left="360"/>
        <w:jc w:val="both"/>
        <w:rPr>
          <w:rFonts w:ascii="Aptos" w:eastAsia="Times New Roman" w:hAnsi="Aptos" w:cs="Calibri"/>
          <w:i/>
          <w:iCs/>
        </w:rPr>
      </w:pPr>
    </w:p>
    <w:p w14:paraId="2D18591D" w14:textId="0A6CAD4B" w:rsidR="00C05472" w:rsidRDefault="00C05472" w:rsidP="00652983">
      <w:pPr>
        <w:spacing w:after="0" w:line="240" w:lineRule="auto"/>
        <w:jc w:val="both"/>
        <w:rPr>
          <w:rFonts w:ascii="Aptos" w:eastAsia="Times New Roman" w:hAnsi="Aptos" w:cs="Calibri"/>
        </w:rPr>
      </w:pPr>
      <w:r w:rsidRPr="00B03498">
        <w:rPr>
          <w:rFonts w:ascii="Aptos" w:eastAsia="Times New Roman" w:hAnsi="Aptos" w:cs="Calibri"/>
          <w:i/>
          <w:iCs/>
        </w:rPr>
        <w:t>These age-related expectations also provide a basis for consistency of expectation in all schools across England and Wales. In turn, this will allow the Catholic Schools Inspectorate to make judgements about the quality of religious education in each school inspected under the National Framework for the Inspection of Catholic School, Colleges and Academies.</w:t>
      </w:r>
      <w:r>
        <w:rPr>
          <w:rFonts w:ascii="Aptos" w:eastAsia="Times New Roman" w:hAnsi="Aptos" w:cs="Calibri"/>
        </w:rPr>
        <w:t>’</w:t>
      </w:r>
      <w:r w:rsidR="00652983">
        <w:rPr>
          <w:rFonts w:ascii="Aptos" w:eastAsia="Times New Roman" w:hAnsi="Aptos" w:cs="Calibri"/>
        </w:rPr>
        <w:t xml:space="preserve">       </w:t>
      </w:r>
      <w:r>
        <w:rPr>
          <w:rFonts w:ascii="Aptos" w:eastAsia="Times New Roman" w:hAnsi="Aptos" w:cs="Calibri"/>
        </w:rPr>
        <w:t>(RED p40)</w:t>
      </w:r>
    </w:p>
    <w:p w14:paraId="64B5057B" w14:textId="77777777" w:rsidR="00C05472" w:rsidRDefault="00C05472" w:rsidP="00C05472">
      <w:pPr>
        <w:spacing w:after="0" w:line="240" w:lineRule="auto"/>
        <w:ind w:left="360"/>
        <w:jc w:val="both"/>
        <w:rPr>
          <w:rFonts w:ascii="Aptos" w:eastAsia="Times New Roman" w:hAnsi="Aptos" w:cs="Calibri"/>
        </w:rPr>
      </w:pPr>
    </w:p>
    <w:p w14:paraId="4009BF77" w14:textId="77777777" w:rsidR="00C145C7" w:rsidRDefault="00C145C7" w:rsidP="00133842">
      <w:pPr>
        <w:spacing w:after="0" w:line="240" w:lineRule="auto"/>
        <w:jc w:val="both"/>
        <w:rPr>
          <w:rFonts w:ascii="Aptos" w:eastAsia="Times New Roman" w:hAnsi="Aptos" w:cs="Calibri"/>
        </w:rPr>
      </w:pPr>
    </w:p>
    <w:p w14:paraId="2D2E92E0" w14:textId="77777777" w:rsidR="006E31F8" w:rsidRDefault="006E31F8" w:rsidP="00C145C7">
      <w:pPr>
        <w:spacing w:after="0" w:line="240" w:lineRule="auto"/>
        <w:jc w:val="both"/>
        <w:rPr>
          <w:rFonts w:ascii="Aptos" w:eastAsia="Times New Roman" w:hAnsi="Aptos" w:cs="Calibri"/>
          <w:b/>
          <w:bCs/>
          <w:color w:val="1F3864" w:themeColor="accent1" w:themeShade="80"/>
          <w:sz w:val="28"/>
          <w:szCs w:val="28"/>
        </w:rPr>
      </w:pPr>
    </w:p>
    <w:p w14:paraId="25F28A64" w14:textId="77777777" w:rsidR="006E31F8" w:rsidRDefault="006E31F8" w:rsidP="00C145C7">
      <w:pPr>
        <w:spacing w:after="0" w:line="240" w:lineRule="auto"/>
        <w:jc w:val="both"/>
        <w:rPr>
          <w:rFonts w:ascii="Aptos" w:eastAsia="Times New Roman" w:hAnsi="Aptos" w:cs="Calibri"/>
          <w:b/>
          <w:bCs/>
          <w:color w:val="1F3864" w:themeColor="accent1" w:themeShade="80"/>
          <w:sz w:val="28"/>
          <w:szCs w:val="28"/>
        </w:rPr>
      </w:pPr>
    </w:p>
    <w:p w14:paraId="61BC117D" w14:textId="6EC5664D" w:rsidR="00C145C7" w:rsidRPr="006E31F8" w:rsidRDefault="00C145C7" w:rsidP="00C145C7">
      <w:pPr>
        <w:spacing w:after="0" w:line="240" w:lineRule="auto"/>
        <w:jc w:val="both"/>
        <w:rPr>
          <w:rFonts w:ascii="Aptos" w:eastAsia="Times New Roman" w:hAnsi="Aptos" w:cs="Calibri"/>
          <w:b/>
          <w:bCs/>
          <w:color w:val="1F3864" w:themeColor="accent1" w:themeShade="80"/>
          <w:sz w:val="28"/>
          <w:szCs w:val="28"/>
        </w:rPr>
      </w:pPr>
      <w:r w:rsidRPr="006E31F8">
        <w:rPr>
          <w:rFonts w:ascii="Aptos" w:eastAsia="Times New Roman" w:hAnsi="Aptos" w:cs="Calibri"/>
          <w:b/>
          <w:bCs/>
          <w:color w:val="1F3864" w:themeColor="accent1" w:themeShade="80"/>
          <w:sz w:val="28"/>
          <w:szCs w:val="28"/>
        </w:rPr>
        <w:t>Overarching Principles of Assessment in Religious Education</w:t>
      </w:r>
    </w:p>
    <w:p w14:paraId="7D633383" w14:textId="77777777" w:rsidR="00C145C7" w:rsidRPr="005F4805" w:rsidRDefault="00C145C7" w:rsidP="00133842">
      <w:pPr>
        <w:spacing w:after="0" w:line="240" w:lineRule="auto"/>
        <w:jc w:val="both"/>
        <w:rPr>
          <w:rFonts w:ascii="Aptos" w:eastAsia="Times New Roman" w:hAnsi="Aptos" w:cs="Calibri"/>
        </w:rPr>
      </w:pPr>
    </w:p>
    <w:p w14:paraId="699F28C2" w14:textId="66FF63D1" w:rsidR="00500C7A" w:rsidRDefault="00500C7A" w:rsidP="00500C7A">
      <w:pPr>
        <w:spacing w:after="0" w:line="240" w:lineRule="auto"/>
        <w:jc w:val="both"/>
        <w:rPr>
          <w:rFonts w:ascii="Aptos" w:eastAsia="Times New Roman" w:hAnsi="Aptos" w:cs="Calibri"/>
        </w:rPr>
      </w:pPr>
      <w:r>
        <w:rPr>
          <w:rFonts w:ascii="Aptos" w:eastAsia="Times New Roman" w:hAnsi="Aptos" w:cs="Calibri"/>
        </w:rPr>
        <w:t xml:space="preserve">RE </w:t>
      </w:r>
      <w:r w:rsidRPr="005F4805">
        <w:rPr>
          <w:rFonts w:ascii="Aptos" w:eastAsia="Times New Roman" w:hAnsi="Aptos" w:cs="Calibri"/>
        </w:rPr>
        <w:t xml:space="preserve">should be assessing </w:t>
      </w:r>
      <w:r>
        <w:rPr>
          <w:rFonts w:ascii="Aptos" w:eastAsia="Times New Roman" w:hAnsi="Aptos" w:cs="Calibri"/>
        </w:rPr>
        <w:t xml:space="preserve">both </w:t>
      </w:r>
      <w:r w:rsidRPr="005F4805">
        <w:rPr>
          <w:rFonts w:ascii="Aptos" w:eastAsia="Times New Roman" w:hAnsi="Aptos" w:cs="Calibri"/>
        </w:rPr>
        <w:t>skills</w:t>
      </w:r>
      <w:r>
        <w:rPr>
          <w:rFonts w:ascii="Aptos" w:eastAsia="Times New Roman" w:hAnsi="Aptos" w:cs="Calibri"/>
        </w:rPr>
        <w:t xml:space="preserve"> and </w:t>
      </w:r>
      <w:r w:rsidRPr="005F4805">
        <w:rPr>
          <w:rFonts w:ascii="Aptos" w:eastAsia="Times New Roman" w:hAnsi="Aptos" w:cs="Calibri"/>
        </w:rPr>
        <w:t>content</w:t>
      </w:r>
      <w:r>
        <w:rPr>
          <w:rFonts w:ascii="Aptos" w:eastAsia="Times New Roman" w:hAnsi="Aptos" w:cs="Calibri"/>
        </w:rPr>
        <w:t xml:space="preserve"> </w:t>
      </w:r>
      <w:r w:rsidRPr="005F4805">
        <w:rPr>
          <w:rFonts w:ascii="Aptos" w:eastAsia="Times New Roman" w:hAnsi="Aptos" w:cs="Calibri"/>
        </w:rPr>
        <w:t xml:space="preserve">as set out in the </w:t>
      </w:r>
      <w:r w:rsidR="00926B79">
        <w:rPr>
          <w:rFonts w:ascii="Aptos" w:eastAsia="Times New Roman" w:hAnsi="Aptos" w:cs="Calibri"/>
        </w:rPr>
        <w:t>RED</w:t>
      </w:r>
      <w:r>
        <w:rPr>
          <w:rFonts w:ascii="Aptos" w:eastAsia="Times New Roman" w:hAnsi="Aptos" w:cs="Calibri"/>
        </w:rPr>
        <w:t xml:space="preserve"> </w:t>
      </w:r>
      <w:proofErr w:type="gramStart"/>
      <w:r>
        <w:rPr>
          <w:rFonts w:ascii="Aptos" w:eastAsia="Times New Roman" w:hAnsi="Aptos" w:cs="Calibri"/>
        </w:rPr>
        <w:t>in order to</w:t>
      </w:r>
      <w:proofErr w:type="gramEnd"/>
      <w:r>
        <w:rPr>
          <w:rFonts w:ascii="Aptos" w:eastAsia="Times New Roman" w:hAnsi="Aptos" w:cs="Calibri"/>
        </w:rPr>
        <w:t xml:space="preserve"> achieve the outcome of RE (</w:t>
      </w:r>
      <w:r w:rsidR="00926B79">
        <w:rPr>
          <w:rFonts w:ascii="Aptos" w:eastAsia="Times New Roman" w:hAnsi="Aptos" w:cs="Calibri"/>
        </w:rPr>
        <w:t xml:space="preserve">RED </w:t>
      </w:r>
      <w:r>
        <w:rPr>
          <w:rFonts w:ascii="Aptos" w:eastAsia="Times New Roman" w:hAnsi="Aptos" w:cs="Calibri"/>
        </w:rPr>
        <w:t>p6).</w:t>
      </w:r>
    </w:p>
    <w:p w14:paraId="5BC528BF" w14:textId="77777777" w:rsidR="00441C66" w:rsidRPr="005F4805" w:rsidRDefault="00441C66" w:rsidP="00AE1A68">
      <w:pPr>
        <w:spacing w:after="0" w:line="240" w:lineRule="auto"/>
        <w:ind w:left="720"/>
        <w:jc w:val="both"/>
        <w:rPr>
          <w:rFonts w:ascii="Aptos" w:eastAsia="Times New Roman" w:hAnsi="Aptos" w:cs="Calibri"/>
        </w:rPr>
      </w:pPr>
    </w:p>
    <w:p w14:paraId="0D1FA021" w14:textId="77777777" w:rsidR="00415939" w:rsidRPr="00B35249" w:rsidRDefault="00245CE7" w:rsidP="00245CE7">
      <w:pPr>
        <w:numPr>
          <w:ilvl w:val="0"/>
          <w:numId w:val="4"/>
        </w:numPr>
        <w:spacing w:after="0" w:line="240" w:lineRule="auto"/>
        <w:ind w:left="360"/>
        <w:jc w:val="both"/>
        <w:rPr>
          <w:rFonts w:ascii="Aptos" w:eastAsia="Times New Roman" w:hAnsi="Aptos" w:cs="Calibri"/>
          <w:b/>
          <w:bCs/>
        </w:rPr>
      </w:pPr>
      <w:r w:rsidRPr="00B35249">
        <w:rPr>
          <w:rFonts w:ascii="Aptos" w:eastAsia="Times New Roman" w:hAnsi="Aptos" w:cs="Calibri"/>
          <w:b/>
          <w:bCs/>
          <w:color w:val="1F3864" w:themeColor="accent1" w:themeShade="80"/>
        </w:rPr>
        <w:t>The RED is progressive and sequential.</w:t>
      </w:r>
      <w:r w:rsidRPr="00B35249">
        <w:rPr>
          <w:rFonts w:ascii="Aptos" w:eastAsia="Times New Roman" w:hAnsi="Aptos" w:cs="Calibri"/>
          <w:b/>
          <w:bCs/>
        </w:rPr>
        <w:t xml:space="preserve"> </w:t>
      </w:r>
    </w:p>
    <w:p w14:paraId="38E4544A" w14:textId="2CF64D02" w:rsidR="00245CE7" w:rsidRDefault="00245CE7" w:rsidP="00415939">
      <w:pPr>
        <w:spacing w:after="0" w:line="240" w:lineRule="auto"/>
        <w:ind w:left="360"/>
        <w:jc w:val="both"/>
        <w:rPr>
          <w:rFonts w:ascii="Aptos" w:eastAsia="Times New Roman" w:hAnsi="Aptos" w:cs="Calibri"/>
        </w:rPr>
      </w:pPr>
      <w:r w:rsidRPr="005F4805">
        <w:rPr>
          <w:rFonts w:ascii="Aptos" w:eastAsia="Times New Roman" w:hAnsi="Aptos" w:cs="Calibri"/>
        </w:rPr>
        <w:t xml:space="preserve">It relies on the accumulation of knowledge and development of skills. Pupils are required to make links between branches and prior learning from previous years. </w:t>
      </w:r>
      <w:r>
        <w:rPr>
          <w:rFonts w:ascii="Aptos" w:eastAsia="Times New Roman" w:hAnsi="Aptos" w:cs="Calibri"/>
        </w:rPr>
        <w:t xml:space="preserve">The </w:t>
      </w:r>
      <w:r w:rsidRPr="00392711">
        <w:rPr>
          <w:rFonts w:ascii="Aptos" w:eastAsia="Times New Roman" w:hAnsi="Aptos" w:cs="Calibri"/>
        </w:rPr>
        <w:t xml:space="preserve">introduction to </w:t>
      </w:r>
      <w:r w:rsidR="00392711" w:rsidRPr="00392711">
        <w:rPr>
          <w:rFonts w:ascii="Aptos" w:eastAsia="Times New Roman" w:hAnsi="Aptos" w:cs="Calibri"/>
        </w:rPr>
        <w:t>th</w:t>
      </w:r>
      <w:r w:rsidR="00392711">
        <w:rPr>
          <w:rFonts w:ascii="Aptos" w:eastAsia="Times New Roman" w:hAnsi="Aptos" w:cs="Calibri"/>
        </w:rPr>
        <w:t>e year of learning</w:t>
      </w:r>
      <w:r>
        <w:rPr>
          <w:rFonts w:ascii="Aptos" w:eastAsia="Times New Roman" w:hAnsi="Aptos" w:cs="Calibri"/>
        </w:rPr>
        <w:t xml:space="preserve"> and the ‘Notes for teachers’ </w:t>
      </w:r>
      <w:r w:rsidR="00CA24BD">
        <w:rPr>
          <w:rFonts w:ascii="Aptos" w:eastAsia="Times New Roman" w:hAnsi="Aptos" w:cs="Calibri"/>
        </w:rPr>
        <w:t>at the start of each branc</w:t>
      </w:r>
      <w:r w:rsidR="003766B8">
        <w:rPr>
          <w:rFonts w:ascii="Aptos" w:eastAsia="Times New Roman" w:hAnsi="Aptos" w:cs="Calibri"/>
        </w:rPr>
        <w:t xml:space="preserve">h </w:t>
      </w:r>
      <w:r>
        <w:rPr>
          <w:rFonts w:ascii="Aptos" w:eastAsia="Times New Roman" w:hAnsi="Aptos" w:cs="Calibri"/>
        </w:rPr>
        <w:t>within the RED make reference to some of the progression and links that can be made, however teachers will need to identify how and where content and skills build on learning from earlier year groups, and where it will develop in future years.</w:t>
      </w:r>
    </w:p>
    <w:p w14:paraId="2A825A59" w14:textId="77777777" w:rsidR="00245CE7" w:rsidRDefault="00245CE7" w:rsidP="00245CE7">
      <w:pPr>
        <w:spacing w:after="0" w:line="240" w:lineRule="auto"/>
        <w:ind w:left="360"/>
        <w:jc w:val="both"/>
        <w:rPr>
          <w:rFonts w:ascii="Aptos" w:eastAsia="Times New Roman" w:hAnsi="Aptos" w:cs="Calibri"/>
        </w:rPr>
      </w:pPr>
    </w:p>
    <w:p w14:paraId="65D0DC66" w14:textId="17555728" w:rsidR="00245CE7" w:rsidRPr="006F75D2" w:rsidRDefault="00245CE7" w:rsidP="00245CE7">
      <w:pPr>
        <w:spacing w:after="0" w:line="240" w:lineRule="auto"/>
        <w:ind w:left="360"/>
        <w:jc w:val="both"/>
        <w:rPr>
          <w:rFonts w:ascii="Aptos" w:eastAsia="Times New Roman" w:hAnsi="Aptos" w:cs="Calibri"/>
          <w:i/>
          <w:iCs/>
        </w:rPr>
      </w:pPr>
      <w:r w:rsidRPr="006F75D2">
        <w:rPr>
          <w:rFonts w:ascii="Aptos" w:eastAsia="Times New Roman" w:hAnsi="Aptos" w:cs="Calibri"/>
          <w:b/>
          <w:bCs/>
          <w:i/>
          <w:iCs/>
          <w:color w:val="1F3864" w:themeColor="accent1" w:themeShade="80"/>
        </w:rPr>
        <w:t>NB:</w:t>
      </w:r>
      <w:r w:rsidRPr="00FF660F">
        <w:rPr>
          <w:rFonts w:ascii="Aptos" w:eastAsia="Times New Roman" w:hAnsi="Aptos" w:cs="Calibri"/>
          <w:i/>
          <w:iCs/>
        </w:rPr>
        <w:t xml:space="preserve"> </w:t>
      </w:r>
      <w:r w:rsidRPr="006F75D2">
        <w:rPr>
          <w:rFonts w:ascii="Aptos" w:eastAsia="Times New Roman" w:hAnsi="Aptos" w:cs="Calibri"/>
          <w:i/>
          <w:iCs/>
        </w:rPr>
        <w:t>The progression of skills for each key stage described by the Ways of Knowing can be found in the RED (p</w:t>
      </w:r>
      <w:r w:rsidR="00FF660F" w:rsidRPr="006F75D2">
        <w:rPr>
          <w:rFonts w:ascii="Aptos" w:eastAsia="Times New Roman" w:hAnsi="Aptos" w:cs="Calibri"/>
          <w:i/>
          <w:iCs/>
        </w:rPr>
        <w:t>p</w:t>
      </w:r>
      <w:r w:rsidRPr="006F75D2">
        <w:rPr>
          <w:rFonts w:ascii="Aptos" w:eastAsia="Times New Roman" w:hAnsi="Aptos" w:cs="Calibri"/>
          <w:i/>
          <w:iCs/>
        </w:rPr>
        <w:t>35-39)</w:t>
      </w:r>
    </w:p>
    <w:p w14:paraId="1209460B" w14:textId="77777777" w:rsidR="00245CE7" w:rsidRPr="006F75D2" w:rsidRDefault="00245CE7" w:rsidP="00245CE7">
      <w:pPr>
        <w:spacing w:after="0" w:line="240" w:lineRule="auto"/>
        <w:ind w:left="360"/>
        <w:jc w:val="both"/>
        <w:rPr>
          <w:rFonts w:ascii="Aptos" w:eastAsia="Times New Roman" w:hAnsi="Aptos" w:cs="Calibri"/>
        </w:rPr>
      </w:pPr>
    </w:p>
    <w:p w14:paraId="0383D53F" w14:textId="77777777" w:rsidR="00415939" w:rsidRPr="00415939" w:rsidRDefault="006A6CE3" w:rsidP="006A6CE3">
      <w:pPr>
        <w:numPr>
          <w:ilvl w:val="0"/>
          <w:numId w:val="4"/>
        </w:numPr>
        <w:spacing w:after="0" w:line="240" w:lineRule="auto"/>
        <w:ind w:left="360"/>
        <w:jc w:val="both"/>
        <w:rPr>
          <w:rFonts w:ascii="Aptos" w:eastAsia="Times New Roman" w:hAnsi="Aptos" w:cs="Calibri"/>
        </w:rPr>
      </w:pPr>
      <w:r w:rsidRPr="00717D19">
        <w:rPr>
          <w:rFonts w:ascii="Aptos" w:eastAsia="Times New Roman" w:hAnsi="Aptos" w:cs="Calibri"/>
          <w:b/>
          <w:bCs/>
          <w:color w:val="1F3864" w:themeColor="accent1" w:themeShade="80"/>
        </w:rPr>
        <w:t>Assessment is one element of the wider endeavour of teaching and learning</w:t>
      </w:r>
      <w:r w:rsidRPr="00415939">
        <w:rPr>
          <w:rFonts w:ascii="Aptos" w:eastAsia="Times New Roman" w:hAnsi="Aptos" w:cs="Calibri"/>
          <w:color w:val="1F3864" w:themeColor="accent1" w:themeShade="80"/>
        </w:rPr>
        <w:t xml:space="preserve">. </w:t>
      </w:r>
    </w:p>
    <w:p w14:paraId="7A721595" w14:textId="204EA104" w:rsidR="006A6CE3" w:rsidRPr="00FF660F" w:rsidRDefault="006A6CE3" w:rsidP="00415939">
      <w:pPr>
        <w:spacing w:after="0" w:line="240" w:lineRule="auto"/>
        <w:ind w:left="360"/>
        <w:jc w:val="both"/>
        <w:rPr>
          <w:rFonts w:ascii="Aptos" w:eastAsia="Times New Roman" w:hAnsi="Aptos" w:cs="Calibri"/>
        </w:rPr>
      </w:pPr>
      <w:r>
        <w:rPr>
          <w:rFonts w:ascii="Aptos" w:eastAsia="Times New Roman" w:hAnsi="Aptos" w:cs="Calibri"/>
        </w:rPr>
        <w:t>It should always be of benefit to the children and young people studying RE</w:t>
      </w:r>
      <w:r w:rsidRPr="00FF660F">
        <w:rPr>
          <w:rFonts w:ascii="Aptos" w:eastAsia="Times New Roman" w:hAnsi="Aptos" w:cs="Calibri"/>
        </w:rPr>
        <w:t>, and it should always be part of the planned curriculum. There are different ways to assess learning in RE, and each way has its place. For example, formative assessment is essential for adaptive teaching as it enables the teacher to assess what learning has taken place, if there are any misconceptions and whether further input is required. Both summative and formative assessment, enables teachers to check progress ‘</w:t>
      </w:r>
      <w:r w:rsidRPr="00FF660F">
        <w:rPr>
          <w:rFonts w:ascii="Aptos" w:eastAsia="Times New Roman" w:hAnsi="Aptos" w:cs="Calibri"/>
          <w:i/>
          <w:iCs/>
        </w:rPr>
        <w:t>when measured against the planned curriculum by knowing more, remembering more and doing more’</w:t>
      </w:r>
      <w:r w:rsidRPr="00FF660F">
        <w:rPr>
          <w:rFonts w:ascii="Aptos" w:eastAsia="Times New Roman" w:hAnsi="Aptos" w:cs="Calibri"/>
        </w:rPr>
        <w:t xml:space="preserve"> (CSI Inspection Handbook v.3.2 (p54).</w:t>
      </w:r>
      <w:r w:rsidRPr="00FF660F">
        <w:rPr>
          <w:rFonts w:ascii="Aptos" w:eastAsia="Times New Roman" w:hAnsi="Aptos" w:cs="Calibri"/>
          <w:i/>
          <w:iCs/>
        </w:rPr>
        <w:t xml:space="preserve"> </w:t>
      </w:r>
      <w:r w:rsidRPr="00FF660F">
        <w:rPr>
          <w:rFonts w:ascii="Aptos" w:eastAsia="Times New Roman" w:hAnsi="Aptos" w:cs="Calibri"/>
        </w:rPr>
        <w:t>Assessment must be purposeful and useful.</w:t>
      </w:r>
    </w:p>
    <w:p w14:paraId="05B2E7B3" w14:textId="77777777" w:rsidR="006A6CE3" w:rsidRPr="00DA5D10" w:rsidRDefault="006A6CE3" w:rsidP="006A6CE3">
      <w:pPr>
        <w:pStyle w:val="ListParagraph"/>
        <w:ind w:left="720" w:firstLine="0"/>
        <w:jc w:val="both"/>
        <w:rPr>
          <w:rFonts w:ascii="Aptos" w:eastAsia="Times New Roman" w:hAnsi="Aptos" w:cs="Calibri"/>
          <w:color w:val="00B050"/>
        </w:rPr>
      </w:pPr>
    </w:p>
    <w:p w14:paraId="3E727520" w14:textId="766E0780" w:rsidR="0056239C" w:rsidRPr="006F75D2" w:rsidRDefault="006A6CE3" w:rsidP="0056239C">
      <w:pPr>
        <w:spacing w:after="0" w:line="240" w:lineRule="auto"/>
        <w:ind w:left="360"/>
        <w:jc w:val="both"/>
        <w:rPr>
          <w:rFonts w:ascii="Aptos" w:eastAsia="Times New Roman" w:hAnsi="Aptos" w:cs="Calibri"/>
          <w:i/>
          <w:iCs/>
        </w:rPr>
      </w:pPr>
      <w:r w:rsidRPr="006F75D2">
        <w:rPr>
          <w:rFonts w:ascii="Aptos" w:eastAsia="Times New Roman" w:hAnsi="Aptos" w:cs="Calibri"/>
          <w:b/>
          <w:bCs/>
          <w:i/>
          <w:iCs/>
          <w:color w:val="1F3864" w:themeColor="accent1" w:themeShade="80"/>
        </w:rPr>
        <w:t>NB:</w:t>
      </w:r>
      <w:r w:rsidRPr="006F75D2">
        <w:rPr>
          <w:rFonts w:ascii="Aptos" w:eastAsia="Times New Roman" w:hAnsi="Aptos" w:cs="Calibri"/>
          <w:i/>
          <w:iCs/>
        </w:rPr>
        <w:t xml:space="preserve"> Assessment forms part of the process of curriculum design at the planning stage: what do </w:t>
      </w:r>
      <w:r w:rsidR="00826F30">
        <w:rPr>
          <w:rFonts w:ascii="Aptos" w:eastAsia="Times New Roman" w:hAnsi="Aptos" w:cs="Calibri"/>
          <w:i/>
          <w:iCs/>
        </w:rPr>
        <w:t xml:space="preserve">you </w:t>
      </w:r>
      <w:r w:rsidRPr="006F75D2">
        <w:rPr>
          <w:rFonts w:ascii="Aptos" w:eastAsia="Times New Roman" w:hAnsi="Aptos" w:cs="Calibri"/>
          <w:i/>
          <w:iCs/>
        </w:rPr>
        <w:t xml:space="preserve">want the children and young people to learn? How are they going to learn it? How will teachers assess that the learning has taken place? </w:t>
      </w:r>
    </w:p>
    <w:p w14:paraId="5F069DB3" w14:textId="77777777" w:rsidR="0056239C" w:rsidRDefault="0056239C" w:rsidP="0056239C">
      <w:pPr>
        <w:jc w:val="both"/>
        <w:rPr>
          <w:rFonts w:ascii="Aptos" w:eastAsia="Times New Roman" w:hAnsi="Aptos" w:cs="Calibri"/>
        </w:rPr>
      </w:pPr>
    </w:p>
    <w:p w14:paraId="6838EBC9" w14:textId="444D1D7E" w:rsidR="006A6CE3" w:rsidRPr="00826F30" w:rsidRDefault="006A6CE3" w:rsidP="00B42485">
      <w:pPr>
        <w:pStyle w:val="ListParagraph"/>
        <w:numPr>
          <w:ilvl w:val="0"/>
          <w:numId w:val="4"/>
        </w:numPr>
        <w:ind w:left="360"/>
        <w:jc w:val="both"/>
        <w:rPr>
          <w:rFonts w:ascii="Aptos" w:eastAsia="Times New Roman" w:hAnsi="Aptos" w:cs="Calibri"/>
          <w:b/>
          <w:bCs/>
          <w:i/>
          <w:iCs/>
          <w:color w:val="1F3864" w:themeColor="accent1" w:themeShade="80"/>
        </w:rPr>
      </w:pPr>
      <w:r w:rsidRPr="00826F30">
        <w:rPr>
          <w:rFonts w:ascii="Aptos" w:eastAsia="Times New Roman" w:hAnsi="Aptos" w:cs="Calibri"/>
          <w:b/>
          <w:bCs/>
          <w:color w:val="1F3864" w:themeColor="accent1" w:themeShade="80"/>
        </w:rPr>
        <w:t xml:space="preserve">The </w:t>
      </w:r>
      <w:r w:rsidRPr="00826F30">
        <w:rPr>
          <w:rFonts w:ascii="Aptos" w:eastAsia="Times New Roman" w:hAnsi="Aptos" w:cs="Calibri"/>
          <w:b/>
          <w:bCs/>
          <w:i/>
          <w:iCs/>
          <w:color w:val="1F3864" w:themeColor="accent1" w:themeShade="80"/>
        </w:rPr>
        <w:t>Discern</w:t>
      </w:r>
      <w:r w:rsidRPr="00826F30">
        <w:rPr>
          <w:rFonts w:ascii="Aptos" w:eastAsia="Times New Roman" w:hAnsi="Aptos" w:cs="Calibri"/>
          <w:b/>
          <w:bCs/>
          <w:color w:val="1F3864" w:themeColor="accent1" w:themeShade="80"/>
        </w:rPr>
        <w:t xml:space="preserve"> and </w:t>
      </w:r>
      <w:r w:rsidRPr="00826F30">
        <w:rPr>
          <w:rFonts w:ascii="Aptos" w:eastAsia="Times New Roman" w:hAnsi="Aptos" w:cs="Calibri"/>
          <w:b/>
          <w:bCs/>
          <w:i/>
          <w:iCs/>
          <w:color w:val="1F3864" w:themeColor="accent1" w:themeShade="80"/>
        </w:rPr>
        <w:t>Understand</w:t>
      </w:r>
      <w:r w:rsidRPr="00826F30">
        <w:rPr>
          <w:rFonts w:ascii="Aptos" w:eastAsia="Times New Roman" w:hAnsi="Aptos" w:cs="Calibri"/>
          <w:b/>
          <w:bCs/>
          <w:color w:val="1F3864" w:themeColor="accent1" w:themeShade="80"/>
        </w:rPr>
        <w:t xml:space="preserve"> ways of knowing must be formally assessed. </w:t>
      </w:r>
    </w:p>
    <w:p w14:paraId="36D05898" w14:textId="44DDCA24" w:rsidR="006A6CE3" w:rsidRDefault="006A6CE3" w:rsidP="008647D4">
      <w:pPr>
        <w:spacing w:after="0" w:line="240" w:lineRule="auto"/>
        <w:ind w:left="360"/>
        <w:jc w:val="both"/>
        <w:rPr>
          <w:rFonts w:ascii="Aptos" w:eastAsia="Times New Roman" w:hAnsi="Aptos" w:cs="Calibri"/>
        </w:rPr>
      </w:pPr>
      <w:r>
        <w:rPr>
          <w:rFonts w:ascii="Aptos" w:eastAsia="Times New Roman" w:hAnsi="Aptos" w:cs="Calibri"/>
        </w:rPr>
        <w:t xml:space="preserve">In the RED, </w:t>
      </w:r>
      <w:proofErr w:type="gramStart"/>
      <w:r w:rsidRPr="00410A30">
        <w:rPr>
          <w:rFonts w:ascii="Aptos" w:eastAsia="Times New Roman" w:hAnsi="Aptos" w:cs="Calibri"/>
          <w:i/>
          <w:iCs/>
        </w:rPr>
        <w:t>Understand</w:t>
      </w:r>
      <w:proofErr w:type="gramEnd"/>
      <w:r w:rsidRPr="00410A30">
        <w:rPr>
          <w:rFonts w:ascii="Aptos" w:eastAsia="Times New Roman" w:hAnsi="Aptos" w:cs="Calibri"/>
          <w:i/>
          <w:iCs/>
        </w:rPr>
        <w:t xml:space="preserve"> </w:t>
      </w:r>
      <w:r w:rsidRPr="005F4805">
        <w:rPr>
          <w:rFonts w:ascii="Aptos" w:eastAsia="Times New Roman" w:hAnsi="Aptos" w:cs="Calibri"/>
        </w:rPr>
        <w:t>outcomes are prescribed</w:t>
      </w:r>
      <w:r>
        <w:rPr>
          <w:rFonts w:ascii="Aptos" w:eastAsia="Times New Roman" w:hAnsi="Aptos" w:cs="Calibri"/>
        </w:rPr>
        <w:t>.</w:t>
      </w:r>
      <w:r w:rsidR="00410A30">
        <w:rPr>
          <w:rFonts w:ascii="Aptos" w:eastAsia="Times New Roman" w:hAnsi="Aptos" w:cs="Calibri"/>
        </w:rPr>
        <w:t xml:space="preserve">  </w:t>
      </w:r>
      <w:r w:rsidRPr="00410A30">
        <w:rPr>
          <w:rFonts w:ascii="Aptos" w:eastAsia="Times New Roman" w:hAnsi="Aptos" w:cs="Calibri"/>
          <w:i/>
          <w:iCs/>
        </w:rPr>
        <w:t xml:space="preserve">Discern </w:t>
      </w:r>
      <w:r w:rsidRPr="005F4805">
        <w:rPr>
          <w:rFonts w:ascii="Aptos" w:eastAsia="Times New Roman" w:hAnsi="Aptos" w:cs="Calibri"/>
        </w:rPr>
        <w:t xml:space="preserve">outcomes </w:t>
      </w:r>
      <w:r>
        <w:rPr>
          <w:rFonts w:ascii="Aptos" w:eastAsia="Times New Roman" w:hAnsi="Aptos" w:cs="Calibri"/>
        </w:rPr>
        <w:t xml:space="preserve">in the RED </w:t>
      </w:r>
      <w:r w:rsidRPr="005F4805">
        <w:rPr>
          <w:rFonts w:ascii="Aptos" w:eastAsia="Times New Roman" w:hAnsi="Aptos" w:cs="Calibri"/>
        </w:rPr>
        <w:t xml:space="preserve">are </w:t>
      </w:r>
      <w:r>
        <w:rPr>
          <w:rFonts w:ascii="Aptos" w:eastAsia="Times New Roman" w:hAnsi="Aptos" w:cs="Calibri"/>
        </w:rPr>
        <w:t>examples</w:t>
      </w:r>
      <w:r w:rsidRPr="005F4805">
        <w:rPr>
          <w:rFonts w:ascii="Aptos" w:eastAsia="Times New Roman" w:hAnsi="Aptos" w:cs="Calibri"/>
        </w:rPr>
        <w:t xml:space="preserve">, </w:t>
      </w:r>
      <w:r>
        <w:rPr>
          <w:rFonts w:ascii="Aptos" w:eastAsia="Times New Roman" w:hAnsi="Aptos" w:cs="Calibri"/>
        </w:rPr>
        <w:t>so it is not essential that these specified outcomes are taught.  However, children and young people</w:t>
      </w:r>
      <w:r w:rsidRPr="005F4805">
        <w:rPr>
          <w:rFonts w:ascii="Aptos" w:eastAsia="Times New Roman" w:hAnsi="Aptos" w:cs="Calibri"/>
        </w:rPr>
        <w:t xml:space="preserve"> must be given the opportunity to discern, and </w:t>
      </w:r>
      <w:r>
        <w:rPr>
          <w:rFonts w:ascii="Aptos" w:eastAsia="Times New Roman" w:hAnsi="Aptos" w:cs="Calibri"/>
        </w:rPr>
        <w:t xml:space="preserve">this </w:t>
      </w:r>
      <w:r w:rsidRPr="005F4805">
        <w:rPr>
          <w:rFonts w:ascii="Aptos" w:eastAsia="Times New Roman" w:hAnsi="Aptos" w:cs="Calibri"/>
        </w:rPr>
        <w:t xml:space="preserve">discerning </w:t>
      </w:r>
      <w:r>
        <w:rPr>
          <w:rFonts w:ascii="Aptos" w:eastAsia="Times New Roman" w:hAnsi="Aptos" w:cs="Calibri"/>
        </w:rPr>
        <w:t xml:space="preserve">must </w:t>
      </w:r>
      <w:r w:rsidRPr="005F4805">
        <w:rPr>
          <w:rFonts w:ascii="Aptos" w:eastAsia="Times New Roman" w:hAnsi="Aptos" w:cs="Calibri"/>
        </w:rPr>
        <w:t xml:space="preserve">be assessed. </w:t>
      </w:r>
      <w:r>
        <w:rPr>
          <w:rFonts w:ascii="Aptos" w:eastAsia="Times New Roman" w:hAnsi="Aptos" w:cs="Calibri"/>
        </w:rPr>
        <w:t xml:space="preserve"> Therefore, if you are writing your own </w:t>
      </w:r>
      <w:r w:rsidR="008647D4" w:rsidRPr="008647D4">
        <w:rPr>
          <w:rFonts w:ascii="Aptos" w:eastAsia="Times New Roman" w:hAnsi="Aptos" w:cs="Calibri"/>
          <w:i/>
          <w:iCs/>
        </w:rPr>
        <w:t>Discern</w:t>
      </w:r>
      <w:r>
        <w:rPr>
          <w:rFonts w:ascii="Aptos" w:eastAsia="Times New Roman" w:hAnsi="Aptos" w:cs="Calibri"/>
        </w:rPr>
        <w:t xml:space="preserve"> outcomes they must demonstrate the same level of challenge as in the given example.</w:t>
      </w:r>
    </w:p>
    <w:p w14:paraId="71E37D1B" w14:textId="77777777" w:rsidR="006A6CE3" w:rsidRDefault="006A6CE3" w:rsidP="006A6CE3">
      <w:pPr>
        <w:spacing w:after="0" w:line="240" w:lineRule="auto"/>
        <w:ind w:left="360"/>
        <w:jc w:val="both"/>
        <w:rPr>
          <w:rFonts w:ascii="Aptos" w:eastAsia="Times New Roman" w:hAnsi="Aptos" w:cs="Calibri"/>
        </w:rPr>
      </w:pPr>
    </w:p>
    <w:p w14:paraId="3F43765C" w14:textId="6F706E99" w:rsidR="006A6CE3" w:rsidRDefault="006A6CE3" w:rsidP="006A6CE3">
      <w:pPr>
        <w:spacing w:after="0" w:line="240" w:lineRule="auto"/>
        <w:ind w:left="360"/>
        <w:jc w:val="both"/>
        <w:rPr>
          <w:rFonts w:ascii="Aptos" w:hAnsi="Aptos"/>
        </w:rPr>
      </w:pPr>
      <w:r>
        <w:rPr>
          <w:rFonts w:ascii="Aptos" w:eastAsia="Times New Roman" w:hAnsi="Aptos" w:cs="Calibri"/>
        </w:rPr>
        <w:t xml:space="preserve">Although </w:t>
      </w:r>
      <w:r w:rsidRPr="008647D4">
        <w:rPr>
          <w:rFonts w:ascii="Aptos" w:eastAsia="Times New Roman" w:hAnsi="Aptos" w:cs="Calibri"/>
          <w:i/>
          <w:iCs/>
        </w:rPr>
        <w:t xml:space="preserve">Respond </w:t>
      </w:r>
      <w:r w:rsidRPr="005F4805">
        <w:rPr>
          <w:rFonts w:ascii="Aptos" w:eastAsia="Times New Roman" w:hAnsi="Aptos" w:cs="Calibri"/>
        </w:rPr>
        <w:t xml:space="preserve">is not </w:t>
      </w:r>
      <w:r>
        <w:rPr>
          <w:rFonts w:ascii="Aptos" w:eastAsia="Times New Roman" w:hAnsi="Aptos" w:cs="Calibri"/>
        </w:rPr>
        <w:t xml:space="preserve">formally </w:t>
      </w:r>
      <w:r w:rsidRPr="005F4805">
        <w:rPr>
          <w:rFonts w:ascii="Aptos" w:eastAsia="Times New Roman" w:hAnsi="Aptos" w:cs="Calibri"/>
        </w:rPr>
        <w:t>assessed</w:t>
      </w:r>
      <w:r>
        <w:rPr>
          <w:rFonts w:ascii="Aptos" w:eastAsia="Times New Roman" w:hAnsi="Aptos" w:cs="Calibri"/>
        </w:rPr>
        <w:t>,</w:t>
      </w:r>
      <w:r w:rsidRPr="005F4805">
        <w:rPr>
          <w:rFonts w:ascii="Aptos" w:eastAsia="Times New Roman" w:hAnsi="Aptos" w:cs="Calibri"/>
        </w:rPr>
        <w:t xml:space="preserve"> </w:t>
      </w:r>
      <w:r>
        <w:rPr>
          <w:rFonts w:ascii="Aptos" w:eastAsia="Times New Roman" w:hAnsi="Aptos" w:cs="Calibri"/>
        </w:rPr>
        <w:t>RE</w:t>
      </w:r>
      <w:r w:rsidRPr="005F4805">
        <w:rPr>
          <w:rFonts w:ascii="Aptos" w:eastAsia="Times New Roman" w:hAnsi="Aptos" w:cs="Calibri"/>
        </w:rPr>
        <w:t xml:space="preserve"> must </w:t>
      </w:r>
      <w:r>
        <w:rPr>
          <w:rFonts w:ascii="Aptos" w:eastAsia="Times New Roman" w:hAnsi="Aptos" w:cs="Calibri"/>
        </w:rPr>
        <w:t>offer</w:t>
      </w:r>
      <w:r w:rsidRPr="005F4805">
        <w:rPr>
          <w:rFonts w:ascii="Aptos" w:eastAsia="Times New Roman" w:hAnsi="Aptos" w:cs="Calibri"/>
        </w:rPr>
        <w:t xml:space="preserve"> regular invitations </w:t>
      </w:r>
      <w:r>
        <w:rPr>
          <w:rFonts w:ascii="Aptos" w:eastAsia="Times New Roman" w:hAnsi="Aptos" w:cs="Calibri"/>
        </w:rPr>
        <w:t xml:space="preserve">for children and young people </w:t>
      </w:r>
      <w:r w:rsidRPr="005F4805">
        <w:rPr>
          <w:rFonts w:ascii="Aptos" w:eastAsia="Times New Roman" w:hAnsi="Aptos" w:cs="Calibri"/>
        </w:rPr>
        <w:t>to respond</w:t>
      </w:r>
      <w:r>
        <w:rPr>
          <w:rFonts w:ascii="Aptos" w:eastAsia="Times New Roman" w:hAnsi="Aptos" w:cs="Calibri"/>
        </w:rPr>
        <w:t>. This is an essential element of learning in RE that will nurture ‘</w:t>
      </w:r>
      <w:r w:rsidRPr="00307B53">
        <w:rPr>
          <w:rFonts w:ascii="Aptos" w:eastAsia="Times New Roman" w:hAnsi="Aptos" w:cs="Calibri"/>
          <w:i/>
          <w:iCs/>
        </w:rPr>
        <w:t>consciously engaged young people</w:t>
      </w:r>
      <w:r>
        <w:rPr>
          <w:rFonts w:ascii="Aptos" w:eastAsia="Times New Roman" w:hAnsi="Aptos" w:cs="Calibri"/>
        </w:rPr>
        <w:t>’ who can ‘</w:t>
      </w:r>
      <w:r w:rsidRPr="005F4805">
        <w:rPr>
          <w:rFonts w:ascii="Aptos" w:hAnsi="Aptos"/>
          <w:i/>
          <w:iCs/>
        </w:rPr>
        <w:t xml:space="preserve">reflect </w:t>
      </w:r>
      <w:proofErr w:type="gramStart"/>
      <w:r w:rsidRPr="005F4805">
        <w:rPr>
          <w:rFonts w:ascii="Aptos" w:hAnsi="Aptos"/>
          <w:i/>
          <w:iCs/>
        </w:rPr>
        <w:t>spiritually, and</w:t>
      </w:r>
      <w:proofErr w:type="gramEnd"/>
      <w:r w:rsidRPr="005F4805">
        <w:rPr>
          <w:rFonts w:ascii="Aptos" w:hAnsi="Aptos"/>
          <w:i/>
          <w:iCs/>
        </w:rPr>
        <w:t xml:space="preserve"> think ethically and theologically</w:t>
      </w:r>
      <w:r>
        <w:rPr>
          <w:rFonts w:ascii="Aptos" w:hAnsi="Aptos"/>
          <w:i/>
          <w:iCs/>
        </w:rPr>
        <w:t>’</w:t>
      </w:r>
      <w:r w:rsidR="008647D4">
        <w:rPr>
          <w:rFonts w:ascii="Aptos" w:hAnsi="Aptos"/>
          <w:i/>
          <w:iCs/>
        </w:rPr>
        <w:t xml:space="preserve"> </w:t>
      </w:r>
      <w:r w:rsidR="008647D4">
        <w:rPr>
          <w:rFonts w:ascii="Aptos" w:hAnsi="Aptos"/>
        </w:rPr>
        <w:t>(RED p6)</w:t>
      </w:r>
      <w:r>
        <w:rPr>
          <w:rFonts w:ascii="Aptos" w:hAnsi="Aptos"/>
        </w:rPr>
        <w:t>.</w:t>
      </w:r>
    </w:p>
    <w:p w14:paraId="2BB0B10F" w14:textId="77777777" w:rsidR="006A6CE3" w:rsidRPr="00307B53" w:rsidRDefault="006A6CE3" w:rsidP="006A6CE3">
      <w:pPr>
        <w:spacing w:after="0" w:line="240" w:lineRule="auto"/>
        <w:ind w:left="360"/>
        <w:jc w:val="both"/>
        <w:rPr>
          <w:rFonts w:ascii="Aptos" w:eastAsia="Times New Roman" w:hAnsi="Aptos" w:cs="Calibri"/>
        </w:rPr>
      </w:pPr>
    </w:p>
    <w:p w14:paraId="5C67246C" w14:textId="483DE9C7" w:rsidR="008647D4" w:rsidRPr="000462D9" w:rsidRDefault="0013050A" w:rsidP="0013050A">
      <w:pPr>
        <w:numPr>
          <w:ilvl w:val="0"/>
          <w:numId w:val="4"/>
        </w:numPr>
        <w:spacing w:after="0" w:line="240" w:lineRule="auto"/>
        <w:ind w:left="360"/>
        <w:jc w:val="both"/>
        <w:rPr>
          <w:rFonts w:ascii="Aptos" w:eastAsia="Times New Roman" w:hAnsi="Aptos" w:cs="Calibri"/>
          <w:b/>
          <w:bCs/>
        </w:rPr>
      </w:pPr>
      <w:r w:rsidRPr="000462D9">
        <w:rPr>
          <w:rFonts w:ascii="Aptos" w:eastAsia="Times New Roman" w:hAnsi="Aptos" w:cs="Calibri"/>
          <w:b/>
          <w:bCs/>
          <w:color w:val="1F3864" w:themeColor="accent1" w:themeShade="80"/>
        </w:rPr>
        <w:t xml:space="preserve">Planning should reflect that all the outcomes are evidenced at </w:t>
      </w:r>
      <w:r w:rsidR="00034481" w:rsidRPr="000462D9">
        <w:rPr>
          <w:rFonts w:ascii="Aptos" w:eastAsia="Times New Roman" w:hAnsi="Aptos" w:cs="Calibri"/>
          <w:b/>
          <w:bCs/>
          <w:color w:val="1F3864" w:themeColor="accent1" w:themeShade="80"/>
        </w:rPr>
        <w:t xml:space="preserve">an </w:t>
      </w:r>
      <w:r w:rsidRPr="000462D9">
        <w:rPr>
          <w:rFonts w:ascii="Aptos" w:eastAsia="Times New Roman" w:hAnsi="Aptos" w:cs="Calibri"/>
          <w:b/>
          <w:bCs/>
          <w:color w:val="1F3864" w:themeColor="accent1" w:themeShade="80"/>
        </w:rPr>
        <w:t>appropriate point</w:t>
      </w:r>
      <w:r w:rsidR="004A7ED4" w:rsidRPr="000462D9">
        <w:rPr>
          <w:rFonts w:ascii="Aptos" w:eastAsia="Times New Roman" w:hAnsi="Aptos" w:cs="Calibri"/>
          <w:b/>
          <w:bCs/>
          <w:color w:val="1F3864" w:themeColor="accent1" w:themeShade="80"/>
        </w:rPr>
        <w:t xml:space="preserve"> and in a variety of ways appropriate to </w:t>
      </w:r>
      <w:r w:rsidR="00F25026">
        <w:rPr>
          <w:rFonts w:ascii="Aptos" w:eastAsia="Times New Roman" w:hAnsi="Aptos" w:cs="Calibri"/>
          <w:b/>
          <w:bCs/>
          <w:color w:val="1F3864" w:themeColor="accent1" w:themeShade="80"/>
        </w:rPr>
        <w:t>a pupil’s</w:t>
      </w:r>
      <w:r w:rsidR="004A7ED4" w:rsidRPr="000462D9">
        <w:rPr>
          <w:rFonts w:ascii="Aptos" w:eastAsia="Times New Roman" w:hAnsi="Aptos" w:cs="Calibri"/>
          <w:b/>
          <w:bCs/>
          <w:color w:val="1F3864" w:themeColor="accent1" w:themeShade="80"/>
        </w:rPr>
        <w:t xml:space="preserve"> age and capacity. </w:t>
      </w:r>
      <w:r w:rsidR="004A7ED4" w:rsidRPr="000462D9">
        <w:rPr>
          <w:rFonts w:ascii="Aptos" w:eastAsia="Times New Roman" w:hAnsi="Aptos" w:cs="Calibri"/>
          <w:b/>
          <w:bCs/>
        </w:rPr>
        <w:t xml:space="preserve"> </w:t>
      </w:r>
    </w:p>
    <w:p w14:paraId="7C70A221" w14:textId="474FD33A" w:rsidR="0013050A" w:rsidRDefault="0013050A" w:rsidP="008647D4">
      <w:pPr>
        <w:spacing w:after="0" w:line="240" w:lineRule="auto"/>
        <w:ind w:left="360"/>
        <w:jc w:val="both"/>
        <w:rPr>
          <w:rFonts w:ascii="Aptos" w:eastAsia="Times New Roman" w:hAnsi="Aptos" w:cs="Calibri"/>
        </w:rPr>
      </w:pPr>
      <w:r>
        <w:rPr>
          <w:rFonts w:ascii="Aptos" w:eastAsia="Times New Roman" w:hAnsi="Aptos" w:cs="Calibri"/>
        </w:rPr>
        <w:t xml:space="preserve">Whether these outcomes are assessed </w:t>
      </w:r>
      <w:r w:rsidRPr="005F4805">
        <w:rPr>
          <w:rFonts w:ascii="Aptos" w:eastAsia="Times New Roman" w:hAnsi="Aptos" w:cs="Calibri"/>
        </w:rPr>
        <w:t>in class, in a mid-term/end of term assessment</w:t>
      </w:r>
      <w:r>
        <w:rPr>
          <w:rFonts w:ascii="Aptos" w:eastAsia="Times New Roman" w:hAnsi="Aptos" w:cs="Calibri"/>
        </w:rPr>
        <w:t xml:space="preserve"> or</w:t>
      </w:r>
      <w:r w:rsidRPr="005F4805">
        <w:rPr>
          <w:rFonts w:ascii="Aptos" w:eastAsia="Times New Roman" w:hAnsi="Aptos" w:cs="Calibri"/>
        </w:rPr>
        <w:t xml:space="preserve"> in an end of year assessment</w:t>
      </w:r>
      <w:r>
        <w:rPr>
          <w:rFonts w:ascii="Aptos" w:eastAsia="Times New Roman" w:hAnsi="Aptos" w:cs="Calibri"/>
        </w:rPr>
        <w:t xml:space="preserve">, </w:t>
      </w:r>
      <w:r w:rsidR="00B70338" w:rsidRPr="008647D4">
        <w:rPr>
          <w:rFonts w:ascii="Aptos" w:eastAsia="Times New Roman" w:hAnsi="Aptos" w:cs="Calibri"/>
        </w:rPr>
        <w:t xml:space="preserve">pupils should have the opportunity to show </w:t>
      </w:r>
      <w:r>
        <w:rPr>
          <w:rFonts w:ascii="Aptos" w:eastAsia="Times New Roman" w:hAnsi="Aptos" w:cs="Calibri"/>
        </w:rPr>
        <w:t>w</w:t>
      </w:r>
      <w:r w:rsidRPr="005F4805">
        <w:rPr>
          <w:rFonts w:ascii="Aptos" w:eastAsia="Times New Roman" w:hAnsi="Aptos" w:cs="Calibri"/>
        </w:rPr>
        <w:t>heth</w:t>
      </w:r>
      <w:r w:rsidR="00B70338">
        <w:rPr>
          <w:rFonts w:ascii="Aptos" w:eastAsia="Times New Roman" w:hAnsi="Aptos" w:cs="Calibri"/>
        </w:rPr>
        <w:t xml:space="preserve">er they are </w:t>
      </w:r>
      <w:r w:rsidRPr="005F4805">
        <w:rPr>
          <w:rFonts w:ascii="Aptos" w:eastAsia="Times New Roman" w:hAnsi="Aptos" w:cs="Calibri"/>
        </w:rPr>
        <w:t xml:space="preserve">meeting </w:t>
      </w:r>
      <w:r>
        <w:rPr>
          <w:rFonts w:ascii="Aptos" w:eastAsia="Times New Roman" w:hAnsi="Aptos" w:cs="Calibri"/>
        </w:rPr>
        <w:t xml:space="preserve">the </w:t>
      </w:r>
      <w:r w:rsidRPr="005F4805">
        <w:rPr>
          <w:rFonts w:ascii="Aptos" w:eastAsia="Times New Roman" w:hAnsi="Aptos" w:cs="Calibri"/>
        </w:rPr>
        <w:t xml:space="preserve">expected standard. </w:t>
      </w:r>
    </w:p>
    <w:p w14:paraId="0808B9D6" w14:textId="4E447115" w:rsidR="0013050A" w:rsidRPr="005F4805" w:rsidRDefault="0013050A" w:rsidP="0013050A">
      <w:pPr>
        <w:spacing w:after="0" w:line="240" w:lineRule="auto"/>
        <w:ind w:left="360"/>
        <w:jc w:val="both"/>
        <w:rPr>
          <w:rFonts w:ascii="Aptos" w:eastAsia="Times New Roman" w:hAnsi="Aptos" w:cs="Calibri"/>
        </w:rPr>
      </w:pPr>
    </w:p>
    <w:p w14:paraId="51CE054E" w14:textId="34A38863" w:rsidR="0013050A" w:rsidRDefault="0013050A" w:rsidP="0013050A">
      <w:pPr>
        <w:spacing w:after="0" w:line="240" w:lineRule="auto"/>
        <w:ind w:left="360"/>
        <w:jc w:val="both"/>
        <w:rPr>
          <w:rFonts w:ascii="Aptos" w:eastAsia="Times New Roman" w:hAnsi="Aptos" w:cs="Calibri"/>
        </w:rPr>
      </w:pPr>
    </w:p>
    <w:p w14:paraId="67AE74E0" w14:textId="4830452C" w:rsidR="0013050A" w:rsidRPr="006F75D2" w:rsidRDefault="0013050A" w:rsidP="00764BDD">
      <w:pPr>
        <w:spacing w:after="0" w:line="240" w:lineRule="auto"/>
        <w:ind w:left="360"/>
        <w:jc w:val="both"/>
        <w:rPr>
          <w:rFonts w:ascii="Aptos" w:eastAsia="Times New Roman" w:hAnsi="Aptos" w:cs="Calibri"/>
          <w:i/>
          <w:iCs/>
        </w:rPr>
      </w:pPr>
      <w:r w:rsidRPr="006F75D2">
        <w:rPr>
          <w:rFonts w:ascii="Aptos" w:eastAsia="Times New Roman" w:hAnsi="Aptos" w:cs="Calibri"/>
          <w:b/>
          <w:bCs/>
          <w:i/>
          <w:iCs/>
          <w:color w:val="1F3864" w:themeColor="accent1" w:themeShade="80"/>
        </w:rPr>
        <w:t>NB:</w:t>
      </w:r>
      <w:r w:rsidRPr="006F75D2">
        <w:rPr>
          <w:rFonts w:ascii="Aptos" w:eastAsia="Times New Roman" w:hAnsi="Aptos" w:cs="Calibri"/>
          <w:i/>
          <w:iCs/>
        </w:rPr>
        <w:t xml:space="preserve"> For pupils in the primary phase, there are age-related expected outcomes for the Ways of Knowing </w:t>
      </w:r>
      <w:r w:rsidR="00B8330D" w:rsidRPr="006F75D2">
        <w:rPr>
          <w:rFonts w:ascii="Aptos" w:eastAsia="Times New Roman" w:hAnsi="Aptos" w:cs="Calibri"/>
          <w:i/>
          <w:iCs/>
        </w:rPr>
        <w:t xml:space="preserve">in the form of </w:t>
      </w:r>
      <w:r w:rsidR="000B6523" w:rsidRPr="006F75D2">
        <w:rPr>
          <w:rFonts w:ascii="Aptos" w:eastAsia="Times New Roman" w:hAnsi="Aptos" w:cs="Calibri"/>
          <w:i/>
          <w:iCs/>
        </w:rPr>
        <w:t>‘end-of-year summary statements’ at</w:t>
      </w:r>
      <w:r w:rsidRPr="006F75D2">
        <w:rPr>
          <w:rFonts w:ascii="Aptos" w:eastAsia="Times New Roman" w:hAnsi="Aptos" w:cs="Calibri"/>
          <w:i/>
          <w:iCs/>
        </w:rPr>
        <w:t xml:space="preserve"> the end of each </w:t>
      </w:r>
      <w:r w:rsidR="00CA0DF6" w:rsidRPr="006F75D2">
        <w:rPr>
          <w:rFonts w:ascii="Aptos" w:eastAsia="Times New Roman" w:hAnsi="Aptos" w:cs="Calibri"/>
          <w:i/>
          <w:iCs/>
        </w:rPr>
        <w:t xml:space="preserve">year’s </w:t>
      </w:r>
      <w:r w:rsidRPr="006F75D2">
        <w:rPr>
          <w:rFonts w:ascii="Aptos" w:eastAsia="Times New Roman" w:hAnsi="Aptos" w:cs="Calibri"/>
          <w:i/>
          <w:iCs/>
        </w:rPr>
        <w:t>content</w:t>
      </w:r>
      <w:r w:rsidR="00B86816" w:rsidRPr="006F75D2">
        <w:rPr>
          <w:rFonts w:ascii="Aptos" w:eastAsia="Times New Roman" w:hAnsi="Aptos" w:cs="Calibri"/>
          <w:i/>
          <w:iCs/>
        </w:rPr>
        <w:t xml:space="preserve">: </w:t>
      </w:r>
      <w:r w:rsidRPr="006F75D2">
        <w:rPr>
          <w:rFonts w:ascii="Aptos" w:eastAsia="Times New Roman" w:hAnsi="Aptos" w:cs="Calibri"/>
          <w:i/>
          <w:iCs/>
        </w:rPr>
        <w:t>for example, for children aged 6, these learning outcomes can be found in the RED (p95).</w:t>
      </w:r>
      <w:r w:rsidR="00764BDD" w:rsidRPr="006F75D2">
        <w:rPr>
          <w:rFonts w:ascii="Aptos" w:eastAsia="Times New Roman" w:hAnsi="Aptos" w:cs="Calibri"/>
          <w:i/>
          <w:iCs/>
        </w:rPr>
        <w:t xml:space="preserve">  These may be particularly useful </w:t>
      </w:r>
      <w:r w:rsidR="00867357" w:rsidRPr="006F75D2">
        <w:rPr>
          <w:rFonts w:ascii="Aptos" w:eastAsia="Times New Roman" w:hAnsi="Aptos" w:cs="Calibri"/>
          <w:i/>
          <w:iCs/>
        </w:rPr>
        <w:t xml:space="preserve">in planning curriculum </w:t>
      </w:r>
      <w:r w:rsidR="00764BDD" w:rsidRPr="006F75D2">
        <w:rPr>
          <w:rFonts w:ascii="Aptos" w:eastAsia="Times New Roman" w:hAnsi="Aptos" w:cs="Calibri"/>
          <w:i/>
          <w:iCs/>
        </w:rPr>
        <w:t>f</w:t>
      </w:r>
      <w:r w:rsidRPr="006F75D2">
        <w:rPr>
          <w:rFonts w:ascii="Aptos" w:eastAsia="Times New Roman" w:hAnsi="Aptos" w:cs="Calibri"/>
          <w:i/>
          <w:iCs/>
        </w:rPr>
        <w:t>or mixed</w:t>
      </w:r>
      <w:r w:rsidR="00336E78" w:rsidRPr="006F75D2">
        <w:rPr>
          <w:rFonts w:ascii="Aptos" w:eastAsia="Times New Roman" w:hAnsi="Aptos" w:cs="Calibri"/>
          <w:i/>
          <w:iCs/>
        </w:rPr>
        <w:t>-</w:t>
      </w:r>
      <w:r w:rsidRPr="006F75D2">
        <w:rPr>
          <w:rFonts w:ascii="Aptos" w:eastAsia="Times New Roman" w:hAnsi="Aptos" w:cs="Calibri"/>
          <w:i/>
          <w:iCs/>
        </w:rPr>
        <w:t>ag</w:t>
      </w:r>
      <w:r w:rsidR="00B86816" w:rsidRPr="006F75D2">
        <w:rPr>
          <w:rFonts w:ascii="Aptos" w:eastAsia="Times New Roman" w:hAnsi="Aptos" w:cs="Calibri"/>
          <w:i/>
          <w:iCs/>
        </w:rPr>
        <w:t>e classes</w:t>
      </w:r>
      <w:r w:rsidR="00867357" w:rsidRPr="006F75D2">
        <w:rPr>
          <w:rFonts w:ascii="Aptos" w:eastAsia="Times New Roman" w:hAnsi="Aptos" w:cs="Calibri"/>
          <w:i/>
          <w:iCs/>
        </w:rPr>
        <w:t>.</w:t>
      </w:r>
    </w:p>
    <w:p w14:paraId="2AC692AA" w14:textId="77777777" w:rsidR="0013050A" w:rsidRPr="005F4805" w:rsidRDefault="0013050A" w:rsidP="0013050A">
      <w:pPr>
        <w:spacing w:after="0" w:line="240" w:lineRule="auto"/>
        <w:jc w:val="both"/>
        <w:rPr>
          <w:rFonts w:ascii="Aptos" w:eastAsia="Times New Roman" w:hAnsi="Aptos" w:cs="Calibri"/>
        </w:rPr>
      </w:pPr>
    </w:p>
    <w:p w14:paraId="1EF53CB5" w14:textId="77777777" w:rsidR="0013050A" w:rsidRPr="005F4805" w:rsidRDefault="0013050A" w:rsidP="0013050A">
      <w:pPr>
        <w:spacing w:after="0" w:line="240" w:lineRule="auto"/>
        <w:ind w:left="720"/>
        <w:jc w:val="both"/>
        <w:rPr>
          <w:rFonts w:ascii="Aptos" w:hAnsi="Aptos" w:cs="Calibri"/>
        </w:rPr>
      </w:pPr>
    </w:p>
    <w:p w14:paraId="4126A107" w14:textId="77777777" w:rsidR="0013050A" w:rsidRPr="005F4805" w:rsidRDefault="0013050A" w:rsidP="0013050A">
      <w:pPr>
        <w:spacing w:after="0" w:line="240" w:lineRule="auto"/>
        <w:jc w:val="both"/>
        <w:rPr>
          <w:rFonts w:ascii="Aptos" w:hAnsi="Aptos" w:cs="Calibri"/>
        </w:rPr>
      </w:pPr>
    </w:p>
    <w:p w14:paraId="008BD3E1" w14:textId="0D0C69FA" w:rsidR="00A60485" w:rsidRPr="00F75E0E" w:rsidRDefault="00D14513" w:rsidP="00B42485">
      <w:pPr>
        <w:pStyle w:val="ListParagraph"/>
        <w:numPr>
          <w:ilvl w:val="0"/>
          <w:numId w:val="4"/>
        </w:numPr>
        <w:ind w:left="360"/>
        <w:jc w:val="both"/>
        <w:rPr>
          <w:rFonts w:ascii="Aptos" w:eastAsia="Times New Roman" w:hAnsi="Aptos" w:cs="Calibri"/>
          <w:b/>
          <w:bCs/>
          <w:color w:val="1F3864" w:themeColor="accent1" w:themeShade="80"/>
        </w:rPr>
      </w:pPr>
      <w:r w:rsidRPr="00F75E0E">
        <w:rPr>
          <w:rFonts w:ascii="Aptos" w:eastAsia="Times New Roman" w:hAnsi="Aptos" w:cs="Calibri"/>
          <w:b/>
          <w:bCs/>
          <w:iCs/>
          <w:color w:val="1F3864" w:themeColor="accent1" w:themeShade="80"/>
        </w:rPr>
        <w:t>Summative assessment</w:t>
      </w:r>
      <w:r w:rsidR="00A60485" w:rsidRPr="00F75E0E">
        <w:rPr>
          <w:rFonts w:ascii="Aptos" w:eastAsia="Times New Roman" w:hAnsi="Aptos" w:cs="Calibri"/>
          <w:b/>
          <w:bCs/>
          <w:iCs/>
          <w:color w:val="1F3864" w:themeColor="accent1" w:themeShade="80"/>
        </w:rPr>
        <w:t xml:space="preserve"> should require </w:t>
      </w:r>
      <w:r w:rsidR="00F75E0E">
        <w:rPr>
          <w:rFonts w:ascii="Aptos" w:eastAsia="Times New Roman" w:hAnsi="Aptos" w:cs="Calibri"/>
          <w:b/>
          <w:bCs/>
          <w:iCs/>
          <w:color w:val="1F3864" w:themeColor="accent1" w:themeShade="80"/>
        </w:rPr>
        <w:t>pupil</w:t>
      </w:r>
      <w:r w:rsidR="00A60485" w:rsidRPr="00F75E0E">
        <w:rPr>
          <w:rFonts w:ascii="Aptos" w:eastAsia="Times New Roman" w:hAnsi="Aptos" w:cs="Calibri"/>
          <w:b/>
          <w:bCs/>
          <w:iCs/>
          <w:color w:val="1F3864" w:themeColor="accent1" w:themeShade="80"/>
        </w:rPr>
        <w:t>s to demonstrate the expected knowledge and skills independently in an age-appropriate manner.</w:t>
      </w:r>
    </w:p>
    <w:p w14:paraId="0EF8C39B" w14:textId="5B9ADCCC" w:rsidR="00D14513" w:rsidRPr="00B42485" w:rsidRDefault="00ED10FE" w:rsidP="00F952E7">
      <w:pPr>
        <w:ind w:left="360"/>
        <w:jc w:val="both"/>
        <w:rPr>
          <w:rFonts w:ascii="Aptos" w:eastAsia="Times New Roman" w:hAnsi="Aptos" w:cs="Calibri"/>
        </w:rPr>
      </w:pPr>
      <w:r w:rsidRPr="00B42485">
        <w:rPr>
          <w:rFonts w:ascii="Aptos" w:eastAsia="Times New Roman" w:hAnsi="Aptos" w:cs="Calibri"/>
          <w:iCs/>
        </w:rPr>
        <w:t>E</w:t>
      </w:r>
      <w:r w:rsidR="00D14513" w:rsidRPr="00B42485">
        <w:rPr>
          <w:rFonts w:ascii="Aptos" w:eastAsia="Times New Roman" w:hAnsi="Aptos" w:cs="Calibri"/>
          <w:iCs/>
        </w:rPr>
        <w:t xml:space="preserve">specially when used for reporting and accountability, </w:t>
      </w:r>
      <w:r w:rsidR="00D14513" w:rsidRPr="00B42485">
        <w:rPr>
          <w:rFonts w:ascii="Aptos" w:eastAsia="Times New Roman" w:hAnsi="Aptos" w:cs="Calibri"/>
        </w:rPr>
        <w:t xml:space="preserve">whether at the end of a sequence of learning, at the end of a branch, the end of </w:t>
      </w:r>
      <w:proofErr w:type="gramStart"/>
      <w:r w:rsidR="00D14513" w:rsidRPr="00B42485">
        <w:rPr>
          <w:rFonts w:ascii="Aptos" w:eastAsia="Times New Roman" w:hAnsi="Aptos" w:cs="Calibri"/>
        </w:rPr>
        <w:t>a number of</w:t>
      </w:r>
      <w:proofErr w:type="gramEnd"/>
      <w:r w:rsidR="00D14513" w:rsidRPr="00B42485">
        <w:rPr>
          <w:rFonts w:ascii="Aptos" w:eastAsia="Times New Roman" w:hAnsi="Aptos" w:cs="Calibri"/>
        </w:rPr>
        <w:t xml:space="preserve"> branches or at the end of a year</w:t>
      </w:r>
      <w:r w:rsidR="00800DF7" w:rsidRPr="00B42485">
        <w:rPr>
          <w:rFonts w:ascii="Aptos" w:eastAsia="Times New Roman" w:hAnsi="Aptos" w:cs="Calibri"/>
        </w:rPr>
        <w:t>,</w:t>
      </w:r>
      <w:r w:rsidR="00D14513" w:rsidRPr="00B42485">
        <w:rPr>
          <w:rFonts w:ascii="Aptos" w:eastAsia="Times New Roman" w:hAnsi="Aptos" w:cs="Calibri"/>
          <w:iCs/>
        </w:rPr>
        <w:t xml:space="preserve"> </w:t>
      </w:r>
      <w:r w:rsidRPr="00B42485">
        <w:rPr>
          <w:rFonts w:ascii="Aptos" w:eastAsia="Times New Roman" w:hAnsi="Aptos" w:cs="Calibri"/>
          <w:iCs/>
        </w:rPr>
        <w:t xml:space="preserve">summative assessment </w:t>
      </w:r>
      <w:r w:rsidR="00D14513" w:rsidRPr="00B42485">
        <w:rPr>
          <w:rFonts w:ascii="Aptos" w:eastAsia="Times New Roman" w:hAnsi="Aptos" w:cs="Calibri"/>
          <w:iCs/>
        </w:rPr>
        <w:t>should require students to demonstrate the expected knowledge and skills independently in an age</w:t>
      </w:r>
      <w:r w:rsidR="00985B56" w:rsidRPr="00B42485">
        <w:rPr>
          <w:rFonts w:ascii="Aptos" w:eastAsia="Times New Roman" w:hAnsi="Aptos" w:cs="Calibri"/>
          <w:iCs/>
        </w:rPr>
        <w:t>-</w:t>
      </w:r>
      <w:r w:rsidR="00D14513" w:rsidRPr="00B42485">
        <w:rPr>
          <w:rFonts w:ascii="Aptos" w:eastAsia="Times New Roman" w:hAnsi="Aptos" w:cs="Calibri"/>
          <w:iCs/>
        </w:rPr>
        <w:t>appropriate</w:t>
      </w:r>
      <w:r w:rsidR="00B312C9" w:rsidRPr="00B42485">
        <w:rPr>
          <w:rFonts w:ascii="Aptos" w:eastAsia="Times New Roman" w:hAnsi="Aptos" w:cs="Calibri"/>
          <w:iCs/>
        </w:rPr>
        <w:t xml:space="preserve"> manner</w:t>
      </w:r>
      <w:r w:rsidR="00D14513" w:rsidRPr="00B42485">
        <w:rPr>
          <w:rFonts w:ascii="Aptos" w:eastAsia="Times New Roman" w:hAnsi="Aptos" w:cs="Calibri"/>
          <w:iCs/>
        </w:rPr>
        <w:t xml:space="preserve">. For example, </w:t>
      </w:r>
      <w:r w:rsidR="00162CAD" w:rsidRPr="00B42485">
        <w:rPr>
          <w:rFonts w:ascii="Aptos" w:eastAsia="Times New Roman" w:hAnsi="Aptos" w:cs="Calibri"/>
          <w:iCs/>
        </w:rPr>
        <w:t>a</w:t>
      </w:r>
      <w:r w:rsidR="00D14513" w:rsidRPr="00B42485">
        <w:rPr>
          <w:rFonts w:ascii="Aptos" w:eastAsia="Times New Roman" w:hAnsi="Aptos" w:cs="Calibri"/>
          <w:iCs/>
        </w:rPr>
        <w:t xml:space="preserve"> stimulus</w:t>
      </w:r>
      <w:r w:rsidR="00FA13B8" w:rsidRPr="00B42485">
        <w:rPr>
          <w:rFonts w:ascii="Aptos" w:eastAsia="Times New Roman" w:hAnsi="Aptos" w:cs="Calibri"/>
          <w:iCs/>
        </w:rPr>
        <w:t>/</w:t>
      </w:r>
      <w:r w:rsidR="00162CAD" w:rsidRPr="00B42485">
        <w:rPr>
          <w:rFonts w:ascii="Aptos" w:eastAsia="Times New Roman" w:hAnsi="Aptos" w:cs="Calibri"/>
          <w:iCs/>
        </w:rPr>
        <w:t>image</w:t>
      </w:r>
      <w:r w:rsidR="00FA13B8" w:rsidRPr="00B42485">
        <w:rPr>
          <w:rFonts w:ascii="Aptos" w:eastAsia="Times New Roman" w:hAnsi="Aptos" w:cs="Calibri"/>
          <w:iCs/>
        </w:rPr>
        <w:t xml:space="preserve">/prompt/scaffold may be used </w:t>
      </w:r>
      <w:r w:rsidR="00964F9D" w:rsidRPr="00B42485">
        <w:rPr>
          <w:rFonts w:ascii="Aptos" w:eastAsia="Times New Roman" w:hAnsi="Aptos" w:cs="Calibri"/>
          <w:iCs/>
        </w:rPr>
        <w:t xml:space="preserve">appropriate to the age and capacity of </w:t>
      </w:r>
      <w:r w:rsidRPr="00B42485">
        <w:rPr>
          <w:rFonts w:ascii="Aptos" w:eastAsia="Times New Roman" w:hAnsi="Aptos" w:cs="Calibri"/>
          <w:iCs/>
        </w:rPr>
        <w:t>pupils,</w:t>
      </w:r>
      <w:r w:rsidR="00985B56" w:rsidRPr="00B42485">
        <w:rPr>
          <w:rFonts w:ascii="Aptos" w:eastAsia="Times New Roman" w:hAnsi="Aptos" w:cs="Calibri"/>
          <w:iCs/>
        </w:rPr>
        <w:t xml:space="preserve"> </w:t>
      </w:r>
      <w:r w:rsidR="00FA13B8" w:rsidRPr="00B42485">
        <w:rPr>
          <w:rFonts w:ascii="Aptos" w:eastAsia="Times New Roman" w:hAnsi="Aptos" w:cs="Calibri"/>
          <w:iCs/>
        </w:rPr>
        <w:t xml:space="preserve">but it should not be </w:t>
      </w:r>
      <w:r w:rsidR="00D14513" w:rsidRPr="00B42485">
        <w:rPr>
          <w:rFonts w:ascii="Aptos" w:eastAsia="Times New Roman" w:hAnsi="Aptos" w:cs="Calibri"/>
          <w:iCs/>
        </w:rPr>
        <w:t>an ‘open book</w:t>
      </w:r>
      <w:r w:rsidR="00FA13B8" w:rsidRPr="00B42485">
        <w:rPr>
          <w:rFonts w:ascii="Aptos" w:eastAsia="Times New Roman" w:hAnsi="Aptos" w:cs="Calibri"/>
          <w:iCs/>
        </w:rPr>
        <w:t>’ exercise</w:t>
      </w:r>
      <w:r w:rsidR="00964F9D" w:rsidRPr="00B42485">
        <w:rPr>
          <w:rFonts w:ascii="Aptos" w:eastAsia="Times New Roman" w:hAnsi="Aptos" w:cs="Calibri"/>
          <w:iCs/>
        </w:rPr>
        <w:t xml:space="preserve"> or </w:t>
      </w:r>
      <w:r w:rsidR="00162CAD" w:rsidRPr="00B42485">
        <w:rPr>
          <w:rFonts w:ascii="Aptos" w:eastAsia="Times New Roman" w:hAnsi="Aptos" w:cs="Calibri"/>
          <w:iCs/>
        </w:rPr>
        <w:t>a homework task.</w:t>
      </w:r>
    </w:p>
    <w:p w14:paraId="7874C681" w14:textId="77777777" w:rsidR="00D14513" w:rsidRDefault="00D14513" w:rsidP="00D14513">
      <w:pPr>
        <w:spacing w:after="0" w:line="240" w:lineRule="auto"/>
        <w:ind w:left="360"/>
        <w:jc w:val="both"/>
        <w:rPr>
          <w:rFonts w:ascii="Aptos" w:eastAsia="Times New Roman" w:hAnsi="Aptos" w:cs="Calibri"/>
        </w:rPr>
      </w:pPr>
    </w:p>
    <w:p w14:paraId="4615F740" w14:textId="77777777" w:rsidR="00D14513" w:rsidRPr="00685311" w:rsidRDefault="00D14513" w:rsidP="00D14513">
      <w:pPr>
        <w:spacing w:after="0" w:line="240" w:lineRule="auto"/>
        <w:ind w:left="360"/>
        <w:jc w:val="both"/>
        <w:rPr>
          <w:rFonts w:ascii="Aptos" w:eastAsia="Times New Roman" w:hAnsi="Aptos" w:cs="Calibri"/>
        </w:rPr>
      </w:pPr>
    </w:p>
    <w:p w14:paraId="017AB005" w14:textId="4FA944B8" w:rsidR="00133842" w:rsidRPr="001D0922" w:rsidRDefault="00133842" w:rsidP="00133842">
      <w:pPr>
        <w:numPr>
          <w:ilvl w:val="0"/>
          <w:numId w:val="4"/>
        </w:numPr>
        <w:spacing w:after="0" w:line="240" w:lineRule="auto"/>
        <w:ind w:left="360"/>
        <w:jc w:val="both"/>
        <w:rPr>
          <w:rFonts w:ascii="Aptos" w:eastAsia="Times New Roman" w:hAnsi="Aptos" w:cs="Calibri"/>
          <w:b/>
          <w:bCs/>
          <w:color w:val="1F3864" w:themeColor="accent1" w:themeShade="80"/>
        </w:rPr>
      </w:pPr>
      <w:r w:rsidRPr="001D0922">
        <w:rPr>
          <w:rFonts w:ascii="Aptos" w:eastAsia="Times New Roman" w:hAnsi="Aptos" w:cs="Calibri"/>
          <w:b/>
          <w:bCs/>
          <w:color w:val="1F3864" w:themeColor="accent1" w:themeShade="80"/>
        </w:rPr>
        <w:t>To</w:t>
      </w:r>
      <w:r w:rsidR="00441C66" w:rsidRPr="001D0922">
        <w:rPr>
          <w:rFonts w:ascii="Aptos" w:eastAsia="Times New Roman" w:hAnsi="Aptos" w:cs="Calibri"/>
          <w:b/>
          <w:bCs/>
          <w:color w:val="1F3864" w:themeColor="accent1" w:themeShade="80"/>
        </w:rPr>
        <w:t xml:space="preserve"> protect the integrity of each </w:t>
      </w:r>
      <w:r w:rsidR="006D3437" w:rsidRPr="001D0922">
        <w:rPr>
          <w:rFonts w:ascii="Aptos" w:eastAsia="Times New Roman" w:hAnsi="Aptos" w:cs="Calibri"/>
          <w:b/>
          <w:bCs/>
          <w:color w:val="1F3864" w:themeColor="accent1" w:themeShade="80"/>
        </w:rPr>
        <w:t>age</w:t>
      </w:r>
      <w:r w:rsidR="00342B6E" w:rsidRPr="001D0922">
        <w:rPr>
          <w:rFonts w:ascii="Aptos" w:eastAsia="Times New Roman" w:hAnsi="Aptos" w:cs="Calibri"/>
          <w:b/>
          <w:bCs/>
          <w:color w:val="1F3864" w:themeColor="accent1" w:themeShade="80"/>
        </w:rPr>
        <w:t xml:space="preserve"> phase</w:t>
      </w:r>
      <w:r w:rsidR="00441C66" w:rsidRPr="001D0922">
        <w:rPr>
          <w:rFonts w:ascii="Aptos" w:eastAsia="Times New Roman" w:hAnsi="Aptos" w:cs="Calibri"/>
          <w:b/>
          <w:bCs/>
          <w:color w:val="1F3864" w:themeColor="accent1" w:themeShade="80"/>
        </w:rPr>
        <w:t xml:space="preserve"> </w:t>
      </w:r>
      <w:r w:rsidR="00342B6E" w:rsidRPr="001D0922">
        <w:rPr>
          <w:rFonts w:ascii="Aptos" w:eastAsia="Times New Roman" w:hAnsi="Aptos" w:cs="Calibri"/>
          <w:b/>
          <w:bCs/>
          <w:color w:val="1F3864" w:themeColor="accent1" w:themeShade="80"/>
        </w:rPr>
        <w:t>(</w:t>
      </w:r>
      <w:r w:rsidR="00441C66" w:rsidRPr="001D0922">
        <w:rPr>
          <w:rFonts w:ascii="Aptos" w:eastAsia="Times New Roman" w:hAnsi="Aptos" w:cs="Calibri"/>
          <w:b/>
          <w:bCs/>
          <w:color w:val="1F3864" w:themeColor="accent1" w:themeShade="80"/>
        </w:rPr>
        <w:t xml:space="preserve">and year group) outcomes </w:t>
      </w:r>
      <w:r w:rsidRPr="001D0922">
        <w:rPr>
          <w:rFonts w:ascii="Aptos" w:eastAsia="Times New Roman" w:hAnsi="Aptos" w:cs="Calibri"/>
          <w:b/>
          <w:bCs/>
          <w:color w:val="1F3864" w:themeColor="accent1" w:themeShade="80"/>
        </w:rPr>
        <w:t xml:space="preserve">in each branch within the RED </w:t>
      </w:r>
      <w:r w:rsidR="00441C66" w:rsidRPr="001D0922">
        <w:rPr>
          <w:rFonts w:ascii="Aptos" w:eastAsia="Times New Roman" w:hAnsi="Aptos" w:cs="Calibri"/>
          <w:b/>
          <w:bCs/>
          <w:color w:val="1F3864" w:themeColor="accent1" w:themeShade="80"/>
        </w:rPr>
        <w:t xml:space="preserve">set a standard by which </w:t>
      </w:r>
      <w:r w:rsidR="001D0922">
        <w:rPr>
          <w:rFonts w:ascii="Aptos" w:eastAsia="Times New Roman" w:hAnsi="Aptos" w:cs="Calibri"/>
          <w:b/>
          <w:bCs/>
          <w:color w:val="1F3864" w:themeColor="accent1" w:themeShade="80"/>
        </w:rPr>
        <w:t xml:space="preserve">pupils </w:t>
      </w:r>
      <w:r w:rsidR="00441C66" w:rsidRPr="001D0922">
        <w:rPr>
          <w:rFonts w:ascii="Aptos" w:eastAsia="Times New Roman" w:hAnsi="Aptos" w:cs="Calibri"/>
          <w:b/>
          <w:bCs/>
          <w:color w:val="1F3864" w:themeColor="accent1" w:themeShade="80"/>
        </w:rPr>
        <w:t xml:space="preserve">should be assessed. </w:t>
      </w:r>
    </w:p>
    <w:p w14:paraId="33EB863A" w14:textId="78B5A342" w:rsidR="00C81CA8" w:rsidRDefault="003241C6" w:rsidP="00133842">
      <w:pPr>
        <w:spacing w:after="0" w:line="240" w:lineRule="auto"/>
        <w:ind w:left="360"/>
        <w:jc w:val="both"/>
        <w:rPr>
          <w:rFonts w:ascii="Aptos" w:eastAsia="Times New Roman" w:hAnsi="Aptos" w:cs="Calibri"/>
        </w:rPr>
      </w:pPr>
      <w:r>
        <w:rPr>
          <w:rFonts w:ascii="Aptos" w:eastAsia="Times New Roman" w:hAnsi="Aptos" w:cs="Calibri"/>
        </w:rPr>
        <w:t xml:space="preserve">Pupils </w:t>
      </w:r>
      <w:r w:rsidR="00441C66" w:rsidRPr="005F4805">
        <w:rPr>
          <w:rFonts w:ascii="Aptos" w:eastAsia="Times New Roman" w:hAnsi="Aptos" w:cs="Calibri"/>
        </w:rPr>
        <w:t>should not be expected to demonstrate skills beyond those set out in the RED in their given year group</w:t>
      </w:r>
      <w:r w:rsidR="005C0183">
        <w:rPr>
          <w:rFonts w:ascii="Aptos" w:eastAsia="Times New Roman" w:hAnsi="Aptos" w:cs="Calibri"/>
        </w:rPr>
        <w:t xml:space="preserve"> </w:t>
      </w:r>
      <w:proofErr w:type="gramStart"/>
      <w:r w:rsidR="005C0183">
        <w:rPr>
          <w:rFonts w:ascii="Aptos" w:eastAsia="Times New Roman" w:hAnsi="Aptos" w:cs="Calibri"/>
        </w:rPr>
        <w:t>in order to</w:t>
      </w:r>
      <w:proofErr w:type="gramEnd"/>
      <w:r w:rsidR="005C0183">
        <w:rPr>
          <w:rFonts w:ascii="Aptos" w:eastAsia="Times New Roman" w:hAnsi="Aptos" w:cs="Calibri"/>
        </w:rPr>
        <w:t xml:space="preserve"> meet expected outcomes</w:t>
      </w:r>
      <w:r w:rsidR="00C81CA8">
        <w:rPr>
          <w:rFonts w:ascii="Aptos" w:eastAsia="Times New Roman" w:hAnsi="Aptos" w:cs="Calibri"/>
        </w:rPr>
        <w:t xml:space="preserve">. </w:t>
      </w:r>
    </w:p>
    <w:p w14:paraId="09E7EF15" w14:textId="77777777" w:rsidR="00AE1E07" w:rsidRDefault="00AE1E07" w:rsidP="00133842">
      <w:pPr>
        <w:spacing w:after="0" w:line="240" w:lineRule="auto"/>
        <w:ind w:left="360"/>
        <w:jc w:val="both"/>
        <w:rPr>
          <w:rFonts w:ascii="Aptos" w:eastAsia="Times New Roman" w:hAnsi="Aptos" w:cs="Calibri"/>
        </w:rPr>
      </w:pPr>
    </w:p>
    <w:p w14:paraId="35B90785" w14:textId="0724010A" w:rsidR="00441C66" w:rsidRPr="005F4805" w:rsidRDefault="00C81CA8" w:rsidP="00133842">
      <w:pPr>
        <w:spacing w:after="0" w:line="240" w:lineRule="auto"/>
        <w:ind w:left="360"/>
        <w:jc w:val="both"/>
        <w:rPr>
          <w:rFonts w:ascii="Aptos" w:eastAsia="Times New Roman" w:hAnsi="Aptos" w:cs="Calibri"/>
        </w:rPr>
      </w:pPr>
      <w:r>
        <w:rPr>
          <w:rFonts w:ascii="Aptos" w:eastAsia="Times New Roman" w:hAnsi="Aptos" w:cs="Calibri"/>
        </w:rPr>
        <w:t xml:space="preserve">For example, </w:t>
      </w:r>
      <w:r w:rsidR="001F3B10">
        <w:rPr>
          <w:rFonts w:ascii="Aptos" w:eastAsia="Times New Roman" w:hAnsi="Aptos" w:cs="Calibri"/>
        </w:rPr>
        <w:t xml:space="preserve">in the model curriculum </w:t>
      </w:r>
      <w:r>
        <w:rPr>
          <w:rFonts w:ascii="Aptos" w:eastAsia="Times New Roman" w:hAnsi="Aptos" w:cs="Calibri"/>
        </w:rPr>
        <w:t xml:space="preserve">it </w:t>
      </w:r>
      <w:r w:rsidR="00AE2BC8">
        <w:rPr>
          <w:rFonts w:ascii="Aptos" w:eastAsia="Times New Roman" w:hAnsi="Aptos" w:cs="Calibri"/>
        </w:rPr>
        <w:t xml:space="preserve">is </w:t>
      </w:r>
      <w:r w:rsidR="002959FD">
        <w:rPr>
          <w:rFonts w:ascii="Aptos" w:eastAsia="Times New Roman" w:hAnsi="Aptos" w:cs="Calibri"/>
        </w:rPr>
        <w:t xml:space="preserve">not appropriate that </w:t>
      </w:r>
      <w:proofErr w:type="gramStart"/>
      <w:r w:rsidR="002959FD">
        <w:rPr>
          <w:rFonts w:ascii="Aptos" w:eastAsia="Times New Roman" w:hAnsi="Aptos" w:cs="Calibri"/>
        </w:rPr>
        <w:t>11-14 year old</w:t>
      </w:r>
      <w:proofErr w:type="gramEnd"/>
      <w:r w:rsidR="002959FD">
        <w:rPr>
          <w:rFonts w:ascii="Aptos" w:eastAsia="Times New Roman" w:hAnsi="Aptos" w:cs="Calibri"/>
        </w:rPr>
        <w:t xml:space="preserve"> pupils</w:t>
      </w:r>
      <w:r w:rsidR="00F53717">
        <w:rPr>
          <w:rFonts w:ascii="Aptos" w:eastAsia="Times New Roman" w:hAnsi="Aptos" w:cs="Calibri"/>
        </w:rPr>
        <w:t xml:space="preserve"> demonstrate the skills expected of </w:t>
      </w:r>
      <w:proofErr w:type="gramStart"/>
      <w:r w:rsidR="00F53717">
        <w:rPr>
          <w:rFonts w:ascii="Aptos" w:eastAsia="Times New Roman" w:hAnsi="Aptos" w:cs="Calibri"/>
        </w:rPr>
        <w:t>14-16 year</w:t>
      </w:r>
      <w:r w:rsidR="007426AE">
        <w:rPr>
          <w:rFonts w:ascii="Aptos" w:eastAsia="Times New Roman" w:hAnsi="Aptos" w:cs="Calibri"/>
        </w:rPr>
        <w:t xml:space="preserve"> </w:t>
      </w:r>
      <w:r w:rsidR="00F53717">
        <w:rPr>
          <w:rFonts w:ascii="Aptos" w:eastAsia="Times New Roman" w:hAnsi="Aptos" w:cs="Calibri"/>
        </w:rPr>
        <w:t>old</w:t>
      </w:r>
      <w:proofErr w:type="gramEnd"/>
      <w:r w:rsidR="00F53717">
        <w:rPr>
          <w:rFonts w:ascii="Aptos" w:eastAsia="Times New Roman" w:hAnsi="Aptos" w:cs="Calibri"/>
        </w:rPr>
        <w:t xml:space="preserve"> pupils</w:t>
      </w:r>
      <w:r w:rsidR="001C078D">
        <w:rPr>
          <w:rFonts w:ascii="Aptos" w:eastAsia="Times New Roman" w:hAnsi="Aptos" w:cs="Calibri"/>
        </w:rPr>
        <w:t xml:space="preserve">.  </w:t>
      </w:r>
      <w:r w:rsidR="002506D0">
        <w:rPr>
          <w:rFonts w:ascii="Aptos" w:eastAsia="Times New Roman" w:hAnsi="Aptos" w:cs="Calibri"/>
        </w:rPr>
        <w:t xml:space="preserve">In addition, the exemplars in the RED for </w:t>
      </w:r>
      <w:r w:rsidR="002506D0" w:rsidRPr="0050525A">
        <w:rPr>
          <w:rFonts w:ascii="Aptos" w:eastAsia="Times New Roman" w:hAnsi="Aptos" w:cs="Calibri"/>
          <w:i/>
          <w:iCs/>
        </w:rPr>
        <w:t>Discern</w:t>
      </w:r>
      <w:r w:rsidR="002506D0">
        <w:rPr>
          <w:rFonts w:ascii="Aptos" w:eastAsia="Times New Roman" w:hAnsi="Aptos" w:cs="Calibri"/>
        </w:rPr>
        <w:t xml:space="preserve"> expect a progression of skills, for example </w:t>
      </w:r>
      <w:proofErr w:type="gramStart"/>
      <w:r w:rsidR="002506D0">
        <w:rPr>
          <w:rFonts w:ascii="Aptos" w:eastAsia="Times New Roman" w:hAnsi="Aptos" w:cs="Calibri"/>
        </w:rPr>
        <w:t>11 year olds</w:t>
      </w:r>
      <w:proofErr w:type="gramEnd"/>
      <w:r w:rsidR="002506D0">
        <w:rPr>
          <w:rFonts w:ascii="Aptos" w:eastAsia="Times New Roman" w:hAnsi="Aptos" w:cs="Calibri"/>
        </w:rPr>
        <w:t xml:space="preserve"> are not expected to offer a conclusion</w:t>
      </w:r>
      <w:r w:rsidR="007426AE">
        <w:rPr>
          <w:rFonts w:ascii="Aptos" w:eastAsia="Times New Roman" w:hAnsi="Aptos" w:cs="Calibri"/>
        </w:rPr>
        <w:t xml:space="preserve">. </w:t>
      </w:r>
      <w:r>
        <w:rPr>
          <w:rFonts w:ascii="Aptos" w:eastAsia="Times New Roman" w:hAnsi="Aptos" w:cs="Calibri"/>
        </w:rPr>
        <w:t xml:space="preserve">Also, for example, pupils </w:t>
      </w:r>
      <w:r w:rsidR="00214905">
        <w:rPr>
          <w:rFonts w:ascii="Aptos" w:eastAsia="Times New Roman" w:hAnsi="Aptos" w:cs="Calibri"/>
        </w:rPr>
        <w:t>aged 5-7</w:t>
      </w:r>
      <w:r>
        <w:rPr>
          <w:rFonts w:ascii="Aptos" w:eastAsia="Times New Roman" w:hAnsi="Aptos" w:cs="Calibri"/>
        </w:rPr>
        <w:t xml:space="preserve"> </w:t>
      </w:r>
      <w:r w:rsidR="009E2FC0">
        <w:rPr>
          <w:rFonts w:ascii="Aptos" w:eastAsia="Times New Roman" w:hAnsi="Aptos" w:cs="Calibri"/>
        </w:rPr>
        <w:t xml:space="preserve">are not expected </w:t>
      </w:r>
      <w:r>
        <w:rPr>
          <w:rFonts w:ascii="Aptos" w:eastAsia="Times New Roman" w:hAnsi="Aptos" w:cs="Calibri"/>
        </w:rPr>
        <w:t xml:space="preserve">to show an understanding of scripture studied as this is a skill introduced at </w:t>
      </w:r>
      <w:r w:rsidR="000C3554">
        <w:rPr>
          <w:rFonts w:ascii="Aptos" w:eastAsia="Times New Roman" w:hAnsi="Aptos" w:cs="Calibri"/>
        </w:rPr>
        <w:t>age 7-9</w:t>
      </w:r>
      <w:r>
        <w:rPr>
          <w:rFonts w:ascii="Aptos" w:eastAsia="Times New Roman" w:hAnsi="Aptos" w:cs="Calibri"/>
        </w:rPr>
        <w:t xml:space="preserve">. </w:t>
      </w:r>
    </w:p>
    <w:p w14:paraId="166254E2" w14:textId="77777777" w:rsidR="00441C66" w:rsidRPr="005F4805" w:rsidRDefault="00441C66" w:rsidP="00133842">
      <w:pPr>
        <w:spacing w:after="0" w:line="240" w:lineRule="auto"/>
        <w:ind w:left="360"/>
        <w:jc w:val="both"/>
        <w:rPr>
          <w:rFonts w:ascii="Aptos" w:eastAsia="Times New Roman" w:hAnsi="Aptos" w:cs="Calibri"/>
        </w:rPr>
      </w:pPr>
    </w:p>
    <w:p w14:paraId="555F143A" w14:textId="68EC553F" w:rsidR="00441C66" w:rsidRPr="00DD4A11" w:rsidRDefault="00C81CA8" w:rsidP="00DD4A11">
      <w:pPr>
        <w:spacing w:after="0" w:line="240" w:lineRule="auto"/>
        <w:ind w:left="360"/>
        <w:jc w:val="both"/>
        <w:rPr>
          <w:rFonts w:ascii="Aptos" w:eastAsia="Times New Roman" w:hAnsi="Aptos" w:cs="Calibri"/>
          <w:i/>
          <w:iCs/>
        </w:rPr>
      </w:pPr>
      <w:r w:rsidRPr="00FC7B14">
        <w:rPr>
          <w:rFonts w:ascii="Aptos" w:eastAsia="Times New Roman" w:hAnsi="Aptos" w:cs="Calibri"/>
          <w:b/>
          <w:bCs/>
          <w:i/>
          <w:iCs/>
          <w:color w:val="1F3864" w:themeColor="accent1" w:themeShade="80"/>
        </w:rPr>
        <w:t>NB:</w:t>
      </w:r>
      <w:r w:rsidRPr="00DD4A11">
        <w:rPr>
          <w:rFonts w:ascii="Aptos" w:eastAsia="Times New Roman" w:hAnsi="Aptos" w:cs="Calibri"/>
          <w:i/>
          <w:iCs/>
        </w:rPr>
        <w:t xml:space="preserve"> </w:t>
      </w:r>
      <w:r w:rsidRPr="00FC7B14">
        <w:rPr>
          <w:rFonts w:ascii="Aptos" w:eastAsia="Times New Roman" w:hAnsi="Aptos" w:cs="Calibri"/>
          <w:i/>
          <w:iCs/>
        </w:rPr>
        <w:t>T</w:t>
      </w:r>
      <w:r w:rsidR="00441C66" w:rsidRPr="00FC7B14">
        <w:rPr>
          <w:rFonts w:ascii="Aptos" w:eastAsia="Times New Roman" w:hAnsi="Aptos" w:cs="Calibri"/>
          <w:i/>
          <w:iCs/>
        </w:rPr>
        <w:t xml:space="preserve">he RED offers expected outcomes only. At this stage greater depth cannot and should not be assessed.  </w:t>
      </w:r>
    </w:p>
    <w:p w14:paraId="1D6D2DED" w14:textId="77777777" w:rsidR="006E35DE" w:rsidRPr="005F4805" w:rsidRDefault="006E35DE" w:rsidP="00AE1A68">
      <w:pPr>
        <w:jc w:val="both"/>
        <w:rPr>
          <w:rFonts w:ascii="Aptos" w:hAnsi="Aptos"/>
          <w:color w:val="00B050"/>
        </w:rPr>
      </w:pPr>
    </w:p>
    <w:sectPr w:rsidR="006E35DE" w:rsidRPr="005F480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0BBD" w14:textId="77777777" w:rsidR="0024411E" w:rsidRDefault="0024411E" w:rsidP="00685311">
      <w:pPr>
        <w:spacing w:after="0" w:line="240" w:lineRule="auto"/>
      </w:pPr>
      <w:r>
        <w:separator/>
      </w:r>
    </w:p>
  </w:endnote>
  <w:endnote w:type="continuationSeparator" w:id="0">
    <w:p w14:paraId="102DEDEB" w14:textId="77777777" w:rsidR="0024411E" w:rsidRDefault="0024411E" w:rsidP="0068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A90D" w14:textId="77777777" w:rsidR="00BF0C81" w:rsidRDefault="00BF0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910648"/>
      <w:docPartObj>
        <w:docPartGallery w:val="Page Numbers (Bottom of Page)"/>
        <w:docPartUnique/>
      </w:docPartObj>
    </w:sdtPr>
    <w:sdtEndPr>
      <w:rPr>
        <w:noProof/>
      </w:rPr>
    </w:sdtEndPr>
    <w:sdtContent>
      <w:p w14:paraId="758AF158" w14:textId="11094A2C" w:rsidR="00685311" w:rsidRDefault="00685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C0A8F4" w14:textId="77777777" w:rsidR="00685311" w:rsidRDefault="00685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BDC6" w14:textId="77777777" w:rsidR="00BF0C81" w:rsidRDefault="00BF0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4EAC" w14:textId="77777777" w:rsidR="0024411E" w:rsidRDefault="0024411E" w:rsidP="00685311">
      <w:pPr>
        <w:spacing w:after="0" w:line="240" w:lineRule="auto"/>
      </w:pPr>
      <w:r>
        <w:separator/>
      </w:r>
    </w:p>
  </w:footnote>
  <w:footnote w:type="continuationSeparator" w:id="0">
    <w:p w14:paraId="1DC75A65" w14:textId="77777777" w:rsidR="0024411E" w:rsidRDefault="0024411E" w:rsidP="00685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CE50" w14:textId="77777777" w:rsidR="00BF0C81" w:rsidRDefault="00BF0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980731"/>
      <w:docPartObj>
        <w:docPartGallery w:val="Watermarks"/>
        <w:docPartUnique/>
      </w:docPartObj>
    </w:sdtPr>
    <w:sdtContent>
      <w:p w14:paraId="30382FE0" w14:textId="229A0C8F" w:rsidR="00BF0C81" w:rsidRDefault="00000000">
        <w:pPr>
          <w:pStyle w:val="Header"/>
        </w:pPr>
        <w:r>
          <w:rPr>
            <w:noProof/>
          </w:rPr>
          <w:pict w14:anchorId="30F0D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AC42" w14:textId="77777777" w:rsidR="00BF0C81" w:rsidRDefault="00BF0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560"/>
    <w:multiLevelType w:val="hybridMultilevel"/>
    <w:tmpl w:val="5DE24052"/>
    <w:lvl w:ilvl="0" w:tplc="0C3EFE94">
      <w:start w:val="1"/>
      <w:numFmt w:val="decimal"/>
      <w:lvlText w:val="%1."/>
      <w:lvlJc w:val="left"/>
      <w:pPr>
        <w:ind w:left="785" w:hanging="360"/>
      </w:pPr>
      <w:rPr>
        <w:i w:val="0"/>
        <w:iCs w:val="0"/>
        <w:color w:val="1F3864" w:themeColor="accent1" w:themeShade="80"/>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1" w15:restartNumberingAfterBreak="0">
    <w:nsid w:val="05D26FE4"/>
    <w:multiLevelType w:val="hybridMultilevel"/>
    <w:tmpl w:val="7F8449A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50665"/>
    <w:multiLevelType w:val="hybridMultilevel"/>
    <w:tmpl w:val="DFEAC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BC7E79"/>
    <w:multiLevelType w:val="multilevel"/>
    <w:tmpl w:val="8256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671DE4"/>
    <w:multiLevelType w:val="hybridMultilevel"/>
    <w:tmpl w:val="B5146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B153F0"/>
    <w:multiLevelType w:val="hybridMultilevel"/>
    <w:tmpl w:val="B8063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E213F"/>
    <w:multiLevelType w:val="hybridMultilevel"/>
    <w:tmpl w:val="6B680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53A524C"/>
    <w:multiLevelType w:val="multilevel"/>
    <w:tmpl w:val="D12E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9013A7"/>
    <w:multiLevelType w:val="multilevel"/>
    <w:tmpl w:val="384C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DE0258"/>
    <w:multiLevelType w:val="hybridMultilevel"/>
    <w:tmpl w:val="0E04F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4893709"/>
    <w:multiLevelType w:val="hybridMultilevel"/>
    <w:tmpl w:val="70C4A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54566CB"/>
    <w:multiLevelType w:val="hybridMultilevel"/>
    <w:tmpl w:val="1DF4797A"/>
    <w:lvl w:ilvl="0" w:tplc="643008C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F65DFF"/>
    <w:multiLevelType w:val="hybridMultilevel"/>
    <w:tmpl w:val="A3B6F19A"/>
    <w:lvl w:ilvl="0" w:tplc="0809000F">
      <w:start w:val="1"/>
      <w:numFmt w:val="decimal"/>
      <w:lvlText w:val="%1."/>
      <w:lvlJc w:val="left"/>
      <w:pPr>
        <w:ind w:left="530" w:hanging="360"/>
      </w:pPr>
      <w:rPr>
        <w:rFonts w:hint="default"/>
        <w:b w:val="0"/>
        <w:bCs w:val="0"/>
        <w:i w:val="0"/>
        <w:iCs w:val="0"/>
        <w:color w:val="231F20"/>
        <w:spacing w:val="-1"/>
        <w:w w:val="53"/>
        <w:sz w:val="22"/>
        <w:szCs w:val="22"/>
        <w:lang w:val="en-US" w:eastAsia="en-US" w:bidi="ar-SA"/>
      </w:rPr>
    </w:lvl>
    <w:lvl w:ilvl="1" w:tplc="5B540F84">
      <w:numFmt w:val="bullet"/>
      <w:lvlText w:val="•"/>
      <w:lvlJc w:val="left"/>
      <w:pPr>
        <w:ind w:left="1538" w:hanging="360"/>
      </w:pPr>
      <w:rPr>
        <w:lang w:val="en-US" w:eastAsia="en-US" w:bidi="ar-SA"/>
      </w:rPr>
    </w:lvl>
    <w:lvl w:ilvl="2" w:tplc="BE10FF64">
      <w:numFmt w:val="bullet"/>
      <w:lvlText w:val="•"/>
      <w:lvlJc w:val="left"/>
      <w:pPr>
        <w:ind w:left="2537" w:hanging="360"/>
      </w:pPr>
      <w:rPr>
        <w:lang w:val="en-US" w:eastAsia="en-US" w:bidi="ar-SA"/>
      </w:rPr>
    </w:lvl>
    <w:lvl w:ilvl="3" w:tplc="52063E96">
      <w:numFmt w:val="bullet"/>
      <w:lvlText w:val="•"/>
      <w:lvlJc w:val="left"/>
      <w:pPr>
        <w:ind w:left="3535" w:hanging="360"/>
      </w:pPr>
      <w:rPr>
        <w:lang w:val="en-US" w:eastAsia="en-US" w:bidi="ar-SA"/>
      </w:rPr>
    </w:lvl>
    <w:lvl w:ilvl="4" w:tplc="59600D12">
      <w:numFmt w:val="bullet"/>
      <w:lvlText w:val="•"/>
      <w:lvlJc w:val="left"/>
      <w:pPr>
        <w:ind w:left="4534" w:hanging="360"/>
      </w:pPr>
      <w:rPr>
        <w:lang w:val="en-US" w:eastAsia="en-US" w:bidi="ar-SA"/>
      </w:rPr>
    </w:lvl>
    <w:lvl w:ilvl="5" w:tplc="E73A5F06">
      <w:numFmt w:val="bullet"/>
      <w:lvlText w:val="•"/>
      <w:lvlJc w:val="left"/>
      <w:pPr>
        <w:ind w:left="5532" w:hanging="360"/>
      </w:pPr>
      <w:rPr>
        <w:lang w:val="en-US" w:eastAsia="en-US" w:bidi="ar-SA"/>
      </w:rPr>
    </w:lvl>
    <w:lvl w:ilvl="6" w:tplc="E2B6ECA6">
      <w:numFmt w:val="bullet"/>
      <w:lvlText w:val="•"/>
      <w:lvlJc w:val="left"/>
      <w:pPr>
        <w:ind w:left="6531" w:hanging="360"/>
      </w:pPr>
      <w:rPr>
        <w:lang w:val="en-US" w:eastAsia="en-US" w:bidi="ar-SA"/>
      </w:rPr>
    </w:lvl>
    <w:lvl w:ilvl="7" w:tplc="270452B0">
      <w:numFmt w:val="bullet"/>
      <w:lvlText w:val="•"/>
      <w:lvlJc w:val="left"/>
      <w:pPr>
        <w:ind w:left="7529" w:hanging="360"/>
      </w:pPr>
      <w:rPr>
        <w:lang w:val="en-US" w:eastAsia="en-US" w:bidi="ar-SA"/>
      </w:rPr>
    </w:lvl>
    <w:lvl w:ilvl="8" w:tplc="B484C2A8">
      <w:numFmt w:val="bullet"/>
      <w:lvlText w:val="•"/>
      <w:lvlJc w:val="left"/>
      <w:pPr>
        <w:ind w:left="8528" w:hanging="360"/>
      </w:pPr>
      <w:rPr>
        <w:lang w:val="en-US" w:eastAsia="en-US" w:bidi="ar-SA"/>
      </w:rPr>
    </w:lvl>
  </w:abstractNum>
  <w:abstractNum w:abstractNumId="13" w15:restartNumberingAfterBreak="0">
    <w:nsid w:val="791D2F54"/>
    <w:multiLevelType w:val="hybridMultilevel"/>
    <w:tmpl w:val="967C7E2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E637D70"/>
    <w:multiLevelType w:val="hybridMultilevel"/>
    <w:tmpl w:val="F10AA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9140F6"/>
    <w:multiLevelType w:val="hybridMultilevel"/>
    <w:tmpl w:val="9F5C1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27138689">
    <w:abstractNumId w:val="12"/>
  </w:num>
  <w:num w:numId="2" w16cid:durableId="1664426889">
    <w:abstractNumId w:val="12"/>
  </w:num>
  <w:num w:numId="3" w16cid:durableId="1784111534">
    <w:abstractNumId w:val="11"/>
  </w:num>
  <w:num w:numId="4" w16cid:durableId="274168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5736051">
    <w:abstractNumId w:val="8"/>
  </w:num>
  <w:num w:numId="6" w16cid:durableId="1175801218">
    <w:abstractNumId w:val="7"/>
  </w:num>
  <w:num w:numId="7" w16cid:durableId="634674289">
    <w:abstractNumId w:val="3"/>
  </w:num>
  <w:num w:numId="8" w16cid:durableId="2146894506">
    <w:abstractNumId w:val="0"/>
  </w:num>
  <w:num w:numId="9" w16cid:durableId="1046176789">
    <w:abstractNumId w:val="14"/>
  </w:num>
  <w:num w:numId="10" w16cid:durableId="1025252126">
    <w:abstractNumId w:val="2"/>
  </w:num>
  <w:num w:numId="11" w16cid:durableId="571476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64626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9946125">
    <w:abstractNumId w:val="4"/>
  </w:num>
  <w:num w:numId="14" w16cid:durableId="139424460">
    <w:abstractNumId w:val="6"/>
  </w:num>
  <w:num w:numId="15" w16cid:durableId="878202453">
    <w:abstractNumId w:val="15"/>
  </w:num>
  <w:num w:numId="16" w16cid:durableId="331104610">
    <w:abstractNumId w:val="9"/>
  </w:num>
  <w:num w:numId="17" w16cid:durableId="497620962">
    <w:abstractNumId w:val="10"/>
  </w:num>
  <w:num w:numId="18" w16cid:durableId="888568001">
    <w:abstractNumId w:val="1"/>
  </w:num>
  <w:num w:numId="19" w16cid:durableId="1363214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E4"/>
    <w:rsid w:val="0000746A"/>
    <w:rsid w:val="00007864"/>
    <w:rsid w:val="00010D39"/>
    <w:rsid w:val="00026EE7"/>
    <w:rsid w:val="000315C3"/>
    <w:rsid w:val="00034481"/>
    <w:rsid w:val="00040BCF"/>
    <w:rsid w:val="000462D9"/>
    <w:rsid w:val="0006158F"/>
    <w:rsid w:val="0007150F"/>
    <w:rsid w:val="0009560E"/>
    <w:rsid w:val="000B6523"/>
    <w:rsid w:val="000C1DD7"/>
    <w:rsid w:val="000C3554"/>
    <w:rsid w:val="000D4875"/>
    <w:rsid w:val="000D58A9"/>
    <w:rsid w:val="000E2E8F"/>
    <w:rsid w:val="000E4EFD"/>
    <w:rsid w:val="000F450B"/>
    <w:rsid w:val="00123957"/>
    <w:rsid w:val="0013050A"/>
    <w:rsid w:val="00133842"/>
    <w:rsid w:val="001343AB"/>
    <w:rsid w:val="00143B9E"/>
    <w:rsid w:val="00154161"/>
    <w:rsid w:val="001541A5"/>
    <w:rsid w:val="00162CAD"/>
    <w:rsid w:val="001655D8"/>
    <w:rsid w:val="00187570"/>
    <w:rsid w:val="00197006"/>
    <w:rsid w:val="001A449B"/>
    <w:rsid w:val="001B25F6"/>
    <w:rsid w:val="001C078D"/>
    <w:rsid w:val="001C1DEE"/>
    <w:rsid w:val="001D0922"/>
    <w:rsid w:val="001E04BC"/>
    <w:rsid w:val="001E1299"/>
    <w:rsid w:val="001F3B10"/>
    <w:rsid w:val="00214905"/>
    <w:rsid w:val="002309B0"/>
    <w:rsid w:val="0024411E"/>
    <w:rsid w:val="00245CE7"/>
    <w:rsid w:val="002506D0"/>
    <w:rsid w:val="00254C81"/>
    <w:rsid w:val="002959FD"/>
    <w:rsid w:val="00296ED8"/>
    <w:rsid w:val="002D58D6"/>
    <w:rsid w:val="002F20B6"/>
    <w:rsid w:val="002F5D61"/>
    <w:rsid w:val="00301C96"/>
    <w:rsid w:val="00303B9E"/>
    <w:rsid w:val="00307B53"/>
    <w:rsid w:val="003241C6"/>
    <w:rsid w:val="00332CDE"/>
    <w:rsid w:val="00336E78"/>
    <w:rsid w:val="00342B6E"/>
    <w:rsid w:val="00350528"/>
    <w:rsid w:val="003565A5"/>
    <w:rsid w:val="003766B8"/>
    <w:rsid w:val="00392711"/>
    <w:rsid w:val="003A003E"/>
    <w:rsid w:val="003A7EBB"/>
    <w:rsid w:val="003C6711"/>
    <w:rsid w:val="003D2A29"/>
    <w:rsid w:val="003E02DD"/>
    <w:rsid w:val="003F452B"/>
    <w:rsid w:val="00405111"/>
    <w:rsid w:val="00410A30"/>
    <w:rsid w:val="00414E53"/>
    <w:rsid w:val="00415939"/>
    <w:rsid w:val="0043214D"/>
    <w:rsid w:val="00441C66"/>
    <w:rsid w:val="004575B8"/>
    <w:rsid w:val="00484F4D"/>
    <w:rsid w:val="004914A7"/>
    <w:rsid w:val="004A7ED4"/>
    <w:rsid w:val="004B4A5C"/>
    <w:rsid w:val="004C044C"/>
    <w:rsid w:val="004C3853"/>
    <w:rsid w:val="004E1D34"/>
    <w:rsid w:val="00500C7A"/>
    <w:rsid w:val="0050525A"/>
    <w:rsid w:val="005205CC"/>
    <w:rsid w:val="005243C3"/>
    <w:rsid w:val="00526CD7"/>
    <w:rsid w:val="0053193A"/>
    <w:rsid w:val="00531D66"/>
    <w:rsid w:val="0054096B"/>
    <w:rsid w:val="00551992"/>
    <w:rsid w:val="005615FA"/>
    <w:rsid w:val="0056239C"/>
    <w:rsid w:val="00563FFD"/>
    <w:rsid w:val="00577579"/>
    <w:rsid w:val="00583240"/>
    <w:rsid w:val="00594F8D"/>
    <w:rsid w:val="00596E2B"/>
    <w:rsid w:val="005A042F"/>
    <w:rsid w:val="005C0183"/>
    <w:rsid w:val="005C6EAA"/>
    <w:rsid w:val="005F4805"/>
    <w:rsid w:val="005F5564"/>
    <w:rsid w:val="00652983"/>
    <w:rsid w:val="0065575A"/>
    <w:rsid w:val="006629CD"/>
    <w:rsid w:val="00662DE5"/>
    <w:rsid w:val="00685311"/>
    <w:rsid w:val="00692BF7"/>
    <w:rsid w:val="0069508B"/>
    <w:rsid w:val="006A347D"/>
    <w:rsid w:val="006A6CE3"/>
    <w:rsid w:val="006D3437"/>
    <w:rsid w:val="006E31F8"/>
    <w:rsid w:val="006E35DE"/>
    <w:rsid w:val="006F2235"/>
    <w:rsid w:val="006F75D2"/>
    <w:rsid w:val="00703147"/>
    <w:rsid w:val="00717D19"/>
    <w:rsid w:val="007426AE"/>
    <w:rsid w:val="00764BDD"/>
    <w:rsid w:val="007B76A5"/>
    <w:rsid w:val="007C1576"/>
    <w:rsid w:val="007E5042"/>
    <w:rsid w:val="00800DF7"/>
    <w:rsid w:val="00826F30"/>
    <w:rsid w:val="008403B7"/>
    <w:rsid w:val="00855A07"/>
    <w:rsid w:val="008647D4"/>
    <w:rsid w:val="00867357"/>
    <w:rsid w:val="00867720"/>
    <w:rsid w:val="008B68E6"/>
    <w:rsid w:val="008E59E7"/>
    <w:rsid w:val="008E7CA0"/>
    <w:rsid w:val="00902BDE"/>
    <w:rsid w:val="00906F44"/>
    <w:rsid w:val="00926B79"/>
    <w:rsid w:val="009476FA"/>
    <w:rsid w:val="009635CE"/>
    <w:rsid w:val="00964F9D"/>
    <w:rsid w:val="00980CDD"/>
    <w:rsid w:val="00985B56"/>
    <w:rsid w:val="009B4F35"/>
    <w:rsid w:val="009C0BB3"/>
    <w:rsid w:val="009E2FC0"/>
    <w:rsid w:val="009F4D54"/>
    <w:rsid w:val="00A304E7"/>
    <w:rsid w:val="00A54E7C"/>
    <w:rsid w:val="00A60485"/>
    <w:rsid w:val="00A670A3"/>
    <w:rsid w:val="00A83074"/>
    <w:rsid w:val="00AB0050"/>
    <w:rsid w:val="00AD21F5"/>
    <w:rsid w:val="00AE1A68"/>
    <w:rsid w:val="00AE1E07"/>
    <w:rsid w:val="00AE2BC8"/>
    <w:rsid w:val="00AF372D"/>
    <w:rsid w:val="00AF45EE"/>
    <w:rsid w:val="00B005DC"/>
    <w:rsid w:val="00B02B87"/>
    <w:rsid w:val="00B03498"/>
    <w:rsid w:val="00B060A0"/>
    <w:rsid w:val="00B0635B"/>
    <w:rsid w:val="00B21C57"/>
    <w:rsid w:val="00B312C9"/>
    <w:rsid w:val="00B35249"/>
    <w:rsid w:val="00B4031F"/>
    <w:rsid w:val="00B42485"/>
    <w:rsid w:val="00B55152"/>
    <w:rsid w:val="00B70338"/>
    <w:rsid w:val="00B71C74"/>
    <w:rsid w:val="00B8330D"/>
    <w:rsid w:val="00B86816"/>
    <w:rsid w:val="00BD316A"/>
    <w:rsid w:val="00BF0C81"/>
    <w:rsid w:val="00C01685"/>
    <w:rsid w:val="00C05472"/>
    <w:rsid w:val="00C145C7"/>
    <w:rsid w:val="00C179C4"/>
    <w:rsid w:val="00C17BD4"/>
    <w:rsid w:val="00C56291"/>
    <w:rsid w:val="00C57864"/>
    <w:rsid w:val="00C64B7C"/>
    <w:rsid w:val="00C6730A"/>
    <w:rsid w:val="00C71B48"/>
    <w:rsid w:val="00C81062"/>
    <w:rsid w:val="00C81CA8"/>
    <w:rsid w:val="00CA0DF6"/>
    <w:rsid w:val="00CA24BD"/>
    <w:rsid w:val="00CB1B60"/>
    <w:rsid w:val="00CB30A9"/>
    <w:rsid w:val="00CE430C"/>
    <w:rsid w:val="00D05E4A"/>
    <w:rsid w:val="00D14513"/>
    <w:rsid w:val="00D1669C"/>
    <w:rsid w:val="00D3084A"/>
    <w:rsid w:val="00D45E29"/>
    <w:rsid w:val="00D6157F"/>
    <w:rsid w:val="00D82E95"/>
    <w:rsid w:val="00D95427"/>
    <w:rsid w:val="00DA5D10"/>
    <w:rsid w:val="00DB7FCF"/>
    <w:rsid w:val="00DD4A11"/>
    <w:rsid w:val="00DE3171"/>
    <w:rsid w:val="00DF1989"/>
    <w:rsid w:val="00DF3A7E"/>
    <w:rsid w:val="00DF75DD"/>
    <w:rsid w:val="00E0589C"/>
    <w:rsid w:val="00E07F87"/>
    <w:rsid w:val="00E42BE0"/>
    <w:rsid w:val="00E544EF"/>
    <w:rsid w:val="00E56C5B"/>
    <w:rsid w:val="00EC03B9"/>
    <w:rsid w:val="00ED10FE"/>
    <w:rsid w:val="00EE12C2"/>
    <w:rsid w:val="00EF1E46"/>
    <w:rsid w:val="00F07DF3"/>
    <w:rsid w:val="00F130C3"/>
    <w:rsid w:val="00F22C93"/>
    <w:rsid w:val="00F24BAF"/>
    <w:rsid w:val="00F25026"/>
    <w:rsid w:val="00F448E4"/>
    <w:rsid w:val="00F53717"/>
    <w:rsid w:val="00F61954"/>
    <w:rsid w:val="00F72F07"/>
    <w:rsid w:val="00F75E0E"/>
    <w:rsid w:val="00F952E7"/>
    <w:rsid w:val="00F955D8"/>
    <w:rsid w:val="00FA13B8"/>
    <w:rsid w:val="00FB06E8"/>
    <w:rsid w:val="00FC7B14"/>
    <w:rsid w:val="00FE0180"/>
    <w:rsid w:val="00FF6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4934D"/>
  <w15:chartTrackingRefBased/>
  <w15:docId w15:val="{CB2BD706-92E3-47CC-B7F0-2DD93FEA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E46"/>
  </w:style>
  <w:style w:type="paragraph" w:styleId="Heading3">
    <w:name w:val="heading 3"/>
    <w:basedOn w:val="Normal"/>
    <w:link w:val="Heading3Char"/>
    <w:uiPriority w:val="9"/>
    <w:unhideWhenUsed/>
    <w:qFormat/>
    <w:rsid w:val="00E56C5B"/>
    <w:pPr>
      <w:widowControl w:val="0"/>
      <w:autoSpaceDE w:val="0"/>
      <w:autoSpaceDN w:val="0"/>
      <w:spacing w:before="81" w:after="0" w:line="240" w:lineRule="auto"/>
      <w:ind w:left="56"/>
      <w:outlineLvl w:val="2"/>
    </w:pPr>
    <w:rPr>
      <w:rFonts w:ascii="Trebuchet MS" w:eastAsia="Trebuchet MS" w:hAnsi="Trebuchet MS" w:cs="Trebuchet MS"/>
      <w:b/>
      <w:bCs/>
      <w:lang w:val="en-US"/>
    </w:rPr>
  </w:style>
  <w:style w:type="paragraph" w:styleId="Heading4">
    <w:name w:val="heading 4"/>
    <w:basedOn w:val="Normal"/>
    <w:next w:val="Normal"/>
    <w:link w:val="Heading4Char"/>
    <w:uiPriority w:val="9"/>
    <w:semiHidden/>
    <w:unhideWhenUsed/>
    <w:qFormat/>
    <w:rsid w:val="00F72F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6C5B"/>
    <w:rPr>
      <w:rFonts w:ascii="Trebuchet MS" w:eastAsia="Trebuchet MS" w:hAnsi="Trebuchet MS" w:cs="Trebuchet MS"/>
      <w:b/>
      <w:bCs/>
      <w:lang w:val="en-US"/>
    </w:rPr>
  </w:style>
  <w:style w:type="paragraph" w:styleId="BodyText">
    <w:name w:val="Body Text"/>
    <w:basedOn w:val="Normal"/>
    <w:link w:val="BodyTextChar"/>
    <w:uiPriority w:val="1"/>
    <w:semiHidden/>
    <w:unhideWhenUsed/>
    <w:qFormat/>
    <w:rsid w:val="00E56C5B"/>
    <w:pPr>
      <w:widowControl w:val="0"/>
      <w:autoSpaceDE w:val="0"/>
      <w:autoSpaceDN w:val="0"/>
      <w:spacing w:after="0" w:line="240" w:lineRule="auto"/>
    </w:pPr>
    <w:rPr>
      <w:rFonts w:ascii="Trebuchet MS" w:eastAsia="Trebuchet MS" w:hAnsi="Trebuchet MS" w:cs="Trebuchet MS"/>
      <w:sz w:val="20"/>
      <w:szCs w:val="20"/>
      <w:lang w:val="en-US"/>
    </w:rPr>
  </w:style>
  <w:style w:type="character" w:customStyle="1" w:styleId="BodyTextChar">
    <w:name w:val="Body Text Char"/>
    <w:basedOn w:val="DefaultParagraphFont"/>
    <w:link w:val="BodyText"/>
    <w:uiPriority w:val="1"/>
    <w:semiHidden/>
    <w:rsid w:val="00E56C5B"/>
    <w:rPr>
      <w:rFonts w:ascii="Trebuchet MS" w:eastAsia="Trebuchet MS" w:hAnsi="Trebuchet MS" w:cs="Trebuchet MS"/>
      <w:sz w:val="20"/>
      <w:szCs w:val="20"/>
      <w:lang w:val="en-US"/>
    </w:rPr>
  </w:style>
  <w:style w:type="paragraph" w:styleId="ListParagraph">
    <w:name w:val="List Paragraph"/>
    <w:basedOn w:val="Normal"/>
    <w:uiPriority w:val="34"/>
    <w:qFormat/>
    <w:rsid w:val="00E56C5B"/>
    <w:pPr>
      <w:widowControl w:val="0"/>
      <w:autoSpaceDE w:val="0"/>
      <w:autoSpaceDN w:val="0"/>
      <w:spacing w:before="56" w:after="0" w:line="240" w:lineRule="auto"/>
      <w:ind w:left="1097" w:hanging="341"/>
    </w:pPr>
    <w:rPr>
      <w:rFonts w:ascii="Trebuchet MS" w:eastAsia="Trebuchet MS" w:hAnsi="Trebuchet MS" w:cs="Trebuchet MS"/>
      <w:lang w:val="en-US"/>
    </w:rPr>
  </w:style>
  <w:style w:type="table" w:styleId="TableGrid">
    <w:name w:val="Table Grid"/>
    <w:basedOn w:val="TableNormal"/>
    <w:uiPriority w:val="39"/>
    <w:rsid w:val="00E56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7579"/>
    <w:rPr>
      <w:color w:val="0000FF"/>
      <w:u w:val="single"/>
    </w:rPr>
  </w:style>
  <w:style w:type="paragraph" w:styleId="NormalWeb">
    <w:name w:val="Normal (Web)"/>
    <w:basedOn w:val="Normal"/>
    <w:uiPriority w:val="99"/>
    <w:semiHidden/>
    <w:unhideWhenUsed/>
    <w:rsid w:val="005775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F72F07"/>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85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311"/>
  </w:style>
  <w:style w:type="paragraph" w:styleId="Footer">
    <w:name w:val="footer"/>
    <w:basedOn w:val="Normal"/>
    <w:link w:val="FooterChar"/>
    <w:uiPriority w:val="99"/>
    <w:unhideWhenUsed/>
    <w:rsid w:val="00685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311"/>
  </w:style>
  <w:style w:type="character" w:styleId="UnresolvedMention">
    <w:name w:val="Unresolved Mention"/>
    <w:basedOn w:val="DefaultParagraphFont"/>
    <w:uiPriority w:val="99"/>
    <w:semiHidden/>
    <w:unhideWhenUsed/>
    <w:rsid w:val="00685311"/>
    <w:rPr>
      <w:color w:val="605E5C"/>
      <w:shd w:val="clear" w:color="auto" w:fill="E1DFDD"/>
    </w:rPr>
  </w:style>
  <w:style w:type="character" w:styleId="FollowedHyperlink">
    <w:name w:val="FollowedHyperlink"/>
    <w:basedOn w:val="DefaultParagraphFont"/>
    <w:uiPriority w:val="99"/>
    <w:semiHidden/>
    <w:unhideWhenUsed/>
    <w:rsid w:val="001C1DEE"/>
    <w:rPr>
      <w:color w:val="954F72" w:themeColor="followedHyperlink"/>
      <w:u w:val="single"/>
    </w:rPr>
  </w:style>
  <w:style w:type="table" w:customStyle="1" w:styleId="TableGrid1">
    <w:name w:val="Table Grid1"/>
    <w:basedOn w:val="TableNormal"/>
    <w:next w:val="TableGrid"/>
    <w:uiPriority w:val="39"/>
    <w:rsid w:val="00B060A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158F"/>
    <w:rPr>
      <w:sz w:val="16"/>
      <w:szCs w:val="16"/>
    </w:rPr>
  </w:style>
  <w:style w:type="paragraph" w:styleId="CommentText">
    <w:name w:val="annotation text"/>
    <w:basedOn w:val="Normal"/>
    <w:link w:val="CommentTextChar"/>
    <w:uiPriority w:val="99"/>
    <w:unhideWhenUsed/>
    <w:rsid w:val="0006158F"/>
    <w:pPr>
      <w:spacing w:line="240" w:lineRule="auto"/>
    </w:pPr>
    <w:rPr>
      <w:sz w:val="20"/>
      <w:szCs w:val="20"/>
    </w:rPr>
  </w:style>
  <w:style w:type="character" w:customStyle="1" w:styleId="CommentTextChar">
    <w:name w:val="Comment Text Char"/>
    <w:basedOn w:val="DefaultParagraphFont"/>
    <w:link w:val="CommentText"/>
    <w:uiPriority w:val="99"/>
    <w:rsid w:val="0006158F"/>
    <w:rPr>
      <w:sz w:val="20"/>
      <w:szCs w:val="20"/>
    </w:rPr>
  </w:style>
  <w:style w:type="paragraph" w:styleId="CommentSubject">
    <w:name w:val="annotation subject"/>
    <w:basedOn w:val="CommentText"/>
    <w:next w:val="CommentText"/>
    <w:link w:val="CommentSubjectChar"/>
    <w:uiPriority w:val="99"/>
    <w:semiHidden/>
    <w:unhideWhenUsed/>
    <w:rsid w:val="0006158F"/>
    <w:rPr>
      <w:b/>
      <w:bCs/>
    </w:rPr>
  </w:style>
  <w:style w:type="character" w:customStyle="1" w:styleId="CommentSubjectChar">
    <w:name w:val="Comment Subject Char"/>
    <w:basedOn w:val="CommentTextChar"/>
    <w:link w:val="CommentSubject"/>
    <w:uiPriority w:val="99"/>
    <w:semiHidden/>
    <w:rsid w:val="000615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2872">
      <w:bodyDiv w:val="1"/>
      <w:marLeft w:val="0"/>
      <w:marRight w:val="0"/>
      <w:marTop w:val="0"/>
      <w:marBottom w:val="0"/>
      <w:divBdr>
        <w:top w:val="none" w:sz="0" w:space="0" w:color="auto"/>
        <w:left w:val="none" w:sz="0" w:space="0" w:color="auto"/>
        <w:bottom w:val="none" w:sz="0" w:space="0" w:color="auto"/>
        <w:right w:val="none" w:sz="0" w:space="0" w:color="auto"/>
      </w:divBdr>
    </w:div>
    <w:div w:id="305937559">
      <w:bodyDiv w:val="1"/>
      <w:marLeft w:val="0"/>
      <w:marRight w:val="0"/>
      <w:marTop w:val="0"/>
      <w:marBottom w:val="0"/>
      <w:divBdr>
        <w:top w:val="none" w:sz="0" w:space="0" w:color="auto"/>
        <w:left w:val="none" w:sz="0" w:space="0" w:color="auto"/>
        <w:bottom w:val="none" w:sz="0" w:space="0" w:color="auto"/>
        <w:right w:val="none" w:sz="0" w:space="0" w:color="auto"/>
      </w:divBdr>
    </w:div>
    <w:div w:id="467020202">
      <w:bodyDiv w:val="1"/>
      <w:marLeft w:val="0"/>
      <w:marRight w:val="0"/>
      <w:marTop w:val="0"/>
      <w:marBottom w:val="0"/>
      <w:divBdr>
        <w:top w:val="none" w:sz="0" w:space="0" w:color="auto"/>
        <w:left w:val="none" w:sz="0" w:space="0" w:color="auto"/>
        <w:bottom w:val="none" w:sz="0" w:space="0" w:color="auto"/>
        <w:right w:val="none" w:sz="0" w:space="0" w:color="auto"/>
      </w:divBdr>
    </w:div>
    <w:div w:id="507720662">
      <w:bodyDiv w:val="1"/>
      <w:marLeft w:val="0"/>
      <w:marRight w:val="0"/>
      <w:marTop w:val="0"/>
      <w:marBottom w:val="0"/>
      <w:divBdr>
        <w:top w:val="none" w:sz="0" w:space="0" w:color="auto"/>
        <w:left w:val="none" w:sz="0" w:space="0" w:color="auto"/>
        <w:bottom w:val="none" w:sz="0" w:space="0" w:color="auto"/>
        <w:right w:val="none" w:sz="0" w:space="0" w:color="auto"/>
      </w:divBdr>
    </w:div>
    <w:div w:id="510800172">
      <w:bodyDiv w:val="1"/>
      <w:marLeft w:val="0"/>
      <w:marRight w:val="0"/>
      <w:marTop w:val="0"/>
      <w:marBottom w:val="0"/>
      <w:divBdr>
        <w:top w:val="none" w:sz="0" w:space="0" w:color="auto"/>
        <w:left w:val="none" w:sz="0" w:space="0" w:color="auto"/>
        <w:bottom w:val="none" w:sz="0" w:space="0" w:color="auto"/>
        <w:right w:val="none" w:sz="0" w:space="0" w:color="auto"/>
      </w:divBdr>
    </w:div>
    <w:div w:id="740568323">
      <w:bodyDiv w:val="1"/>
      <w:marLeft w:val="0"/>
      <w:marRight w:val="0"/>
      <w:marTop w:val="0"/>
      <w:marBottom w:val="0"/>
      <w:divBdr>
        <w:top w:val="none" w:sz="0" w:space="0" w:color="auto"/>
        <w:left w:val="none" w:sz="0" w:space="0" w:color="auto"/>
        <w:bottom w:val="none" w:sz="0" w:space="0" w:color="auto"/>
        <w:right w:val="none" w:sz="0" w:space="0" w:color="auto"/>
      </w:divBdr>
    </w:div>
    <w:div w:id="903685387">
      <w:bodyDiv w:val="1"/>
      <w:marLeft w:val="0"/>
      <w:marRight w:val="0"/>
      <w:marTop w:val="0"/>
      <w:marBottom w:val="0"/>
      <w:divBdr>
        <w:top w:val="none" w:sz="0" w:space="0" w:color="auto"/>
        <w:left w:val="none" w:sz="0" w:space="0" w:color="auto"/>
        <w:bottom w:val="none" w:sz="0" w:space="0" w:color="auto"/>
        <w:right w:val="none" w:sz="0" w:space="0" w:color="auto"/>
      </w:divBdr>
    </w:div>
    <w:div w:id="907225306">
      <w:bodyDiv w:val="1"/>
      <w:marLeft w:val="0"/>
      <w:marRight w:val="0"/>
      <w:marTop w:val="0"/>
      <w:marBottom w:val="0"/>
      <w:divBdr>
        <w:top w:val="none" w:sz="0" w:space="0" w:color="auto"/>
        <w:left w:val="none" w:sz="0" w:space="0" w:color="auto"/>
        <w:bottom w:val="none" w:sz="0" w:space="0" w:color="auto"/>
        <w:right w:val="none" w:sz="0" w:space="0" w:color="auto"/>
      </w:divBdr>
    </w:div>
    <w:div w:id="1103578029">
      <w:bodyDiv w:val="1"/>
      <w:marLeft w:val="0"/>
      <w:marRight w:val="0"/>
      <w:marTop w:val="0"/>
      <w:marBottom w:val="0"/>
      <w:divBdr>
        <w:top w:val="none" w:sz="0" w:space="0" w:color="auto"/>
        <w:left w:val="none" w:sz="0" w:space="0" w:color="auto"/>
        <w:bottom w:val="none" w:sz="0" w:space="0" w:color="auto"/>
        <w:right w:val="none" w:sz="0" w:space="0" w:color="auto"/>
      </w:divBdr>
    </w:div>
    <w:div w:id="1830826373">
      <w:bodyDiv w:val="1"/>
      <w:marLeft w:val="0"/>
      <w:marRight w:val="0"/>
      <w:marTop w:val="0"/>
      <w:marBottom w:val="0"/>
      <w:divBdr>
        <w:top w:val="none" w:sz="0" w:space="0" w:color="auto"/>
        <w:left w:val="none" w:sz="0" w:space="0" w:color="auto"/>
        <w:bottom w:val="none" w:sz="0" w:space="0" w:color="auto"/>
        <w:right w:val="none" w:sz="0" w:space="0" w:color="auto"/>
      </w:divBdr>
    </w:div>
    <w:div w:id="18662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9" ma:contentTypeDescription="Create a new document." ma:contentTypeScope="" ma:versionID="8cc48f20d29966b801e7459eebd58348">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b1ed8a290905d4c33f87de7857e68764"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F18CE-40DB-400C-B7DD-CE8B0A36A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B4A42-B903-4304-BFCB-4E21A26DD448}">
  <ds:schemaRefs>
    <ds:schemaRef ds:uri="http://schemas.microsoft.com/office/2006/metadata/properties"/>
    <ds:schemaRef ds:uri="http://schemas.microsoft.com/office/infopath/2007/PartnerControls"/>
    <ds:schemaRef ds:uri="3b8d6a05-d7f0-4ebb-bcfb-d94ee5f44148"/>
    <ds:schemaRef ds:uri="7e796f44-b170-4a35-a1ab-9198968d4f1e"/>
  </ds:schemaRefs>
</ds:datastoreItem>
</file>

<file path=customXml/itemProps3.xml><?xml version="1.0" encoding="utf-8"?>
<ds:datastoreItem xmlns:ds="http://schemas.openxmlformats.org/officeDocument/2006/customXml" ds:itemID="{913E6639-B97C-4B6F-8589-9669CCF3E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1625</Words>
  <Characters>8282</Characters>
  <Application>Microsoft Office Word</Application>
  <DocSecurity>0</DocSecurity>
  <Lines>197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Hedley</dc:creator>
  <cp:keywords/>
  <dc:description/>
  <cp:lastModifiedBy>Colette Owen</cp:lastModifiedBy>
  <cp:revision>3</cp:revision>
  <dcterms:created xsi:type="dcterms:W3CDTF">2026-02-02T09:09:00Z</dcterms:created>
  <dcterms:modified xsi:type="dcterms:W3CDTF">2026-02-02T10:18:00Z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